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7CCE" w14:textId="77777777" w:rsidR="00435582" w:rsidRPr="00435582" w:rsidRDefault="00435582" w:rsidP="00435582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5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PENGARUH DIGITAL PAYMENT DAN ONLINE REVIEW TERHADAP NIAT BELI KONSUMEN PADA UMKM GEDONG ROTI DI DENPASAR</w:t>
      </w:r>
    </w:p>
    <w:p w14:paraId="556E53DD" w14:textId="12A4A29F" w:rsidR="00435582" w:rsidRPr="00435582" w:rsidRDefault="00435582" w:rsidP="00435582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558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The Influence of Digital Payment and Online Reviews on Consumer Purchase Intention at </w:t>
      </w:r>
      <w:proofErr w:type="spellStart"/>
      <w:r w:rsidRPr="0043558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Gedong</w:t>
      </w:r>
      <w:proofErr w:type="spellEnd"/>
      <w:r w:rsidRPr="0043558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Roti MSMEs in Denpasar</w:t>
      </w:r>
    </w:p>
    <w:p w14:paraId="60C6CF99" w14:textId="77777777" w:rsidR="00435582" w:rsidRPr="00435582" w:rsidRDefault="00435582" w:rsidP="0043558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/>
        </w:rPr>
      </w:pPr>
      <w:r w:rsidRPr="0043558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Mulia Putra Muliana</w:t>
      </w:r>
      <w:r w:rsidRPr="00435582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Pr="0043558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 Putu Astri Lestari</w:t>
      </w:r>
      <w:r w:rsidRPr="00435582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/>
        </w:rPr>
        <w:t xml:space="preserve">2, </w:t>
      </w:r>
      <w:r w:rsidRPr="0043558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Gede Puspa</w:t>
      </w:r>
      <w:r w:rsidRPr="00435582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/>
        </w:rPr>
        <w:t>3</w:t>
      </w:r>
      <w:r w:rsidRPr="0043558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435582">
        <w:rPr>
          <w:rFonts w:ascii="Times New Roman" w:eastAsia="Calibri" w:hAnsi="Times New Roman" w:cs="Times New Roman"/>
          <w:b/>
          <w:bCs/>
          <w:sz w:val="24"/>
          <w:szCs w:val="24"/>
        </w:rPr>
        <w:t>Putu Yogi Agustia Pratama</w:t>
      </w:r>
      <w:r w:rsidRPr="00435582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4</w:t>
      </w:r>
    </w:p>
    <w:p w14:paraId="4616F9BF" w14:textId="77777777" w:rsidR="00435582" w:rsidRPr="00435582" w:rsidRDefault="00435582" w:rsidP="0043558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5582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1,2 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Management Study Program,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Institut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Desain Dan Bisnis Bali</w:t>
      </w:r>
    </w:p>
    <w:p w14:paraId="29B64A5D" w14:textId="7EEAF86A" w:rsidR="00435582" w:rsidRDefault="00435582" w:rsidP="00435582">
      <w:pPr>
        <w:pBdr>
          <w:bottom w:val="single" w:sz="6" w:space="1" w:color="000000"/>
        </w:pBdr>
        <w:spacing w:line="276" w:lineRule="auto"/>
        <w:jc w:val="center"/>
      </w:pPr>
      <w:r w:rsidRPr="00435582">
        <w:rPr>
          <w:rFonts w:ascii="Times New Roman" w:hAnsi="Times New Roman" w:cs="Times New Roman"/>
          <w:b/>
          <w:bCs/>
          <w:sz w:val="24"/>
          <w:szCs w:val="24"/>
        </w:rPr>
        <w:t>*Email Correspondence</w:t>
      </w:r>
      <w:hyperlink r:id="rId8" w:history="1">
        <w:r w:rsidRPr="0043558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: </w:t>
        </w:r>
        <w:r w:rsidRPr="0043558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email </w:t>
        </w:r>
        <w:proofErr w:type="spellStart"/>
        <w:r w:rsidRPr="0043558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korespondensi</w:t>
        </w:r>
        <w:proofErr w:type="spellEnd"/>
        <w:r w:rsidRPr="0043558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43558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penulis</w:t>
        </w:r>
        <w:proofErr w:type="spellEnd"/>
      </w:hyperlink>
    </w:p>
    <w:p w14:paraId="2BDEA15E" w14:textId="77777777" w:rsidR="008B4DEF" w:rsidRPr="00FB4C28" w:rsidRDefault="008B4DEF" w:rsidP="008B4DEF">
      <w:pPr>
        <w:pBdr>
          <w:bottom w:val="single" w:sz="6" w:space="1" w:color="000000"/>
        </w:pBdr>
        <w:spacing w:after="0" w:line="240" w:lineRule="auto"/>
        <w:rPr>
          <w:bCs/>
        </w:rPr>
      </w:pPr>
    </w:p>
    <w:p w14:paraId="16E14CFF" w14:textId="77777777" w:rsidR="008B4DEF" w:rsidRPr="007E3586" w:rsidRDefault="008B4DEF" w:rsidP="008B4DEF">
      <w:pPr>
        <w:pBdr>
          <w:bottom w:val="single" w:sz="6" w:space="1" w:color="auto"/>
        </w:pBdr>
        <w:spacing w:after="0" w:line="240" w:lineRule="auto"/>
        <w:rPr>
          <w:sz w:val="20"/>
          <w:szCs w:val="20"/>
        </w:rPr>
      </w:pPr>
      <w:r w:rsidRPr="006B7057">
        <w:rPr>
          <w:b/>
          <w:bCs/>
          <w:sz w:val="20"/>
          <w:szCs w:val="20"/>
        </w:rPr>
        <w:t>Received</w:t>
      </w:r>
      <w:r w:rsidRPr="007E3586">
        <w:rPr>
          <w:sz w:val="20"/>
          <w:szCs w:val="20"/>
        </w:rPr>
        <w:t>: 01-0</w:t>
      </w:r>
      <w:r>
        <w:rPr>
          <w:sz w:val="20"/>
          <w:szCs w:val="20"/>
        </w:rPr>
        <w:t>5</w:t>
      </w:r>
      <w:r w:rsidRPr="007E3586">
        <w:rPr>
          <w:sz w:val="20"/>
          <w:szCs w:val="20"/>
        </w:rPr>
        <w:t xml:space="preserve">-2026 | </w:t>
      </w:r>
      <w:r w:rsidRPr="006B7057">
        <w:rPr>
          <w:b/>
          <w:bCs/>
          <w:sz w:val="20"/>
          <w:szCs w:val="20"/>
        </w:rPr>
        <w:t>Revised</w:t>
      </w:r>
      <w:r w:rsidRPr="007E3586">
        <w:rPr>
          <w:sz w:val="20"/>
          <w:szCs w:val="20"/>
        </w:rPr>
        <w:t>: 20-0</w:t>
      </w:r>
      <w:r>
        <w:rPr>
          <w:sz w:val="20"/>
          <w:szCs w:val="20"/>
        </w:rPr>
        <w:t>5</w:t>
      </w:r>
      <w:r w:rsidRPr="007E3586">
        <w:rPr>
          <w:sz w:val="20"/>
          <w:szCs w:val="20"/>
        </w:rPr>
        <w:t xml:space="preserve">-2026 | </w:t>
      </w:r>
      <w:r w:rsidRPr="006B7057">
        <w:rPr>
          <w:b/>
          <w:bCs/>
          <w:sz w:val="20"/>
          <w:szCs w:val="20"/>
        </w:rPr>
        <w:t>Accepted</w:t>
      </w:r>
      <w:r w:rsidRPr="007E3586">
        <w:rPr>
          <w:sz w:val="20"/>
          <w:szCs w:val="20"/>
        </w:rPr>
        <w:t>: 01-0</w:t>
      </w:r>
      <w:r>
        <w:rPr>
          <w:sz w:val="20"/>
          <w:szCs w:val="20"/>
        </w:rPr>
        <w:t>6</w:t>
      </w:r>
      <w:r w:rsidRPr="007E3586">
        <w:rPr>
          <w:sz w:val="20"/>
          <w:szCs w:val="20"/>
        </w:rPr>
        <w:t xml:space="preserve">-2026 | </w:t>
      </w:r>
      <w:r w:rsidRPr="006B7057">
        <w:rPr>
          <w:b/>
          <w:bCs/>
          <w:sz w:val="20"/>
          <w:szCs w:val="20"/>
        </w:rPr>
        <w:t>Published</w:t>
      </w:r>
      <w:r w:rsidRPr="007E3586">
        <w:rPr>
          <w:sz w:val="20"/>
          <w:szCs w:val="20"/>
        </w:rPr>
        <w:t xml:space="preserve">: </w:t>
      </w:r>
      <w:r>
        <w:rPr>
          <w:sz w:val="20"/>
          <w:szCs w:val="20"/>
        </w:rPr>
        <w:t>10</w:t>
      </w:r>
      <w:r w:rsidRPr="007E3586">
        <w:rPr>
          <w:sz w:val="20"/>
          <w:szCs w:val="20"/>
        </w:rPr>
        <w:t>-0</w:t>
      </w:r>
      <w:r>
        <w:rPr>
          <w:sz w:val="20"/>
          <w:szCs w:val="20"/>
        </w:rPr>
        <w:t>6</w:t>
      </w:r>
      <w:r w:rsidRPr="007E3586">
        <w:rPr>
          <w:sz w:val="20"/>
          <w:szCs w:val="20"/>
        </w:rPr>
        <w:t>-2026</w:t>
      </w:r>
    </w:p>
    <w:p w14:paraId="5C538ECE" w14:textId="77777777" w:rsidR="008B4DEF" w:rsidRPr="00FB4C28" w:rsidRDefault="008B4DEF" w:rsidP="008B4DEF">
      <w:pPr>
        <w:spacing w:after="0" w:line="240" w:lineRule="auto"/>
        <w:jc w:val="both"/>
      </w:pPr>
    </w:p>
    <w:p w14:paraId="177AC7EC" w14:textId="77777777" w:rsidR="008B4DEF" w:rsidRDefault="008B4DEF" w:rsidP="00435582">
      <w:pPr>
        <w:pBdr>
          <w:bottom w:val="single" w:sz="6" w:space="1" w:color="000000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F3AE05" w14:textId="77777777" w:rsidR="00435582" w:rsidRPr="00435582" w:rsidRDefault="00435582" w:rsidP="00435582">
      <w:pPr>
        <w:pBdr>
          <w:bottom w:val="single" w:sz="6" w:space="1" w:color="000000"/>
        </w:pBd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56A0DF8" w14:textId="4E65EC66" w:rsidR="00435582" w:rsidRPr="00435582" w:rsidRDefault="00435582" w:rsidP="00435582">
      <w:pPr>
        <w:pBdr>
          <w:bottom w:val="single" w:sz="6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582">
        <w:rPr>
          <w:rFonts w:ascii="Times New Roman" w:hAnsi="Times New Roman" w:cs="Times New Roman"/>
          <w:b/>
          <w:bCs/>
          <w:sz w:val="24"/>
          <w:szCs w:val="24"/>
        </w:rPr>
        <w:t>Received:</w:t>
      </w:r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435582">
        <w:rPr>
          <w:rFonts w:ascii="Times New Roman" w:hAnsi="Times New Roman" w:cs="Times New Roman"/>
          <w:sz w:val="24"/>
          <w:szCs w:val="24"/>
        </w:rPr>
        <w:t xml:space="preserve"> | </w:t>
      </w:r>
      <w:r w:rsidRPr="00435582">
        <w:rPr>
          <w:rFonts w:ascii="Times New Roman" w:hAnsi="Times New Roman" w:cs="Times New Roman"/>
          <w:b/>
          <w:bCs/>
          <w:sz w:val="24"/>
          <w:szCs w:val="24"/>
        </w:rPr>
        <w:t>Revised:</w:t>
      </w:r>
      <w:r w:rsidRPr="00435582">
        <w:rPr>
          <w:rFonts w:ascii="Times New Roman" w:hAnsi="Times New Roman" w:cs="Times New Roman"/>
          <w:sz w:val="24"/>
          <w:szCs w:val="24"/>
        </w:rPr>
        <w:t xml:space="preserve"> 2026 | </w:t>
      </w:r>
      <w:r w:rsidRPr="00435582">
        <w:rPr>
          <w:rFonts w:ascii="Times New Roman" w:hAnsi="Times New Roman" w:cs="Times New Roman"/>
          <w:b/>
          <w:bCs/>
          <w:sz w:val="24"/>
          <w:szCs w:val="24"/>
        </w:rPr>
        <w:t>Accepted:</w:t>
      </w:r>
      <w:r w:rsidRPr="00435582">
        <w:rPr>
          <w:rFonts w:ascii="Times New Roman" w:hAnsi="Times New Roman" w:cs="Times New Roman"/>
          <w:sz w:val="24"/>
          <w:szCs w:val="24"/>
        </w:rPr>
        <w:t xml:space="preserve"> 2026 | </w:t>
      </w:r>
      <w:r w:rsidRPr="00435582">
        <w:rPr>
          <w:rFonts w:ascii="Times New Roman" w:hAnsi="Times New Roman" w:cs="Times New Roman"/>
          <w:b/>
          <w:bCs/>
          <w:sz w:val="24"/>
          <w:szCs w:val="24"/>
        </w:rPr>
        <w:t>Published:</w:t>
      </w:r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</w:t>
      </w:r>
    </w:p>
    <w:p w14:paraId="00A6EB3E" w14:textId="77777777" w:rsidR="00435582" w:rsidRPr="00435582" w:rsidRDefault="00435582" w:rsidP="00435582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355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Abstract</w:t>
      </w:r>
    </w:p>
    <w:p w14:paraId="5B8E4502" w14:textId="77777777" w:rsidR="00435582" w:rsidRPr="00435582" w:rsidRDefault="00435582" w:rsidP="00435582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5582">
        <w:rPr>
          <w:rFonts w:ascii="Times New Roman" w:hAnsi="Times New Roman" w:cs="Times New Roman"/>
          <w:i/>
          <w:iCs/>
          <w:sz w:val="24"/>
          <w:szCs w:val="24"/>
        </w:rPr>
        <w:t xml:space="preserve">This study aims to </w:t>
      </w:r>
      <w:proofErr w:type="spellStart"/>
      <w:r w:rsidRPr="00435582">
        <w:rPr>
          <w:rFonts w:ascii="Times New Roman" w:hAnsi="Times New Roman" w:cs="Times New Roman"/>
          <w:i/>
          <w:iCs/>
          <w:sz w:val="24"/>
          <w:szCs w:val="24"/>
        </w:rPr>
        <w:t>analyze</w:t>
      </w:r>
      <w:proofErr w:type="spellEnd"/>
      <w:r w:rsidRPr="00435582">
        <w:rPr>
          <w:rFonts w:ascii="Times New Roman" w:hAnsi="Times New Roman" w:cs="Times New Roman"/>
          <w:i/>
          <w:iCs/>
          <w:sz w:val="24"/>
          <w:szCs w:val="24"/>
        </w:rPr>
        <w:t xml:space="preserve"> the effect of digital payment and online reviews on consumer purchase intention at </w:t>
      </w:r>
      <w:proofErr w:type="spellStart"/>
      <w:r w:rsidRPr="00435582">
        <w:rPr>
          <w:rFonts w:ascii="Times New Roman" w:hAnsi="Times New Roman" w:cs="Times New Roman"/>
          <w:i/>
          <w:iCs/>
          <w:sz w:val="24"/>
          <w:szCs w:val="24"/>
        </w:rPr>
        <w:t>Gedong</w:t>
      </w:r>
      <w:proofErr w:type="spellEnd"/>
      <w:r w:rsidRPr="00435582">
        <w:rPr>
          <w:rFonts w:ascii="Times New Roman" w:hAnsi="Times New Roman" w:cs="Times New Roman"/>
          <w:i/>
          <w:iCs/>
          <w:sz w:val="24"/>
          <w:szCs w:val="24"/>
        </w:rPr>
        <w:t xml:space="preserve"> Roti MSMEs in Denpasar City. A quantitative approach was employed involving 120 respondents selected through purposive sampling. Data were </w:t>
      </w:r>
      <w:proofErr w:type="spellStart"/>
      <w:r w:rsidRPr="00435582">
        <w:rPr>
          <w:rFonts w:ascii="Times New Roman" w:hAnsi="Times New Roman" w:cs="Times New Roman"/>
          <w:i/>
          <w:iCs/>
          <w:sz w:val="24"/>
          <w:szCs w:val="24"/>
        </w:rPr>
        <w:t>analyzed</w:t>
      </w:r>
      <w:proofErr w:type="spellEnd"/>
      <w:r w:rsidRPr="00435582">
        <w:rPr>
          <w:rFonts w:ascii="Times New Roman" w:hAnsi="Times New Roman" w:cs="Times New Roman"/>
          <w:i/>
          <w:iCs/>
          <w:sz w:val="24"/>
          <w:szCs w:val="24"/>
        </w:rPr>
        <w:t xml:space="preserve"> using the Structural Equation </w:t>
      </w:r>
      <w:proofErr w:type="spellStart"/>
      <w:r w:rsidRPr="00435582">
        <w:rPr>
          <w:rFonts w:ascii="Times New Roman" w:hAnsi="Times New Roman" w:cs="Times New Roman"/>
          <w:i/>
          <w:iCs/>
          <w:sz w:val="24"/>
          <w:szCs w:val="24"/>
        </w:rPr>
        <w:t>Modeling</w:t>
      </w:r>
      <w:proofErr w:type="spellEnd"/>
      <w:r w:rsidRPr="00435582">
        <w:rPr>
          <w:rFonts w:ascii="Times New Roman" w:hAnsi="Times New Roman" w:cs="Times New Roman"/>
          <w:i/>
          <w:iCs/>
          <w:sz w:val="24"/>
          <w:szCs w:val="24"/>
        </w:rPr>
        <w:t xml:space="preserve">–Partial Least Squares (SEM-PLS) method with </w:t>
      </w:r>
      <w:proofErr w:type="spellStart"/>
      <w:r w:rsidRPr="00435582">
        <w:rPr>
          <w:rFonts w:ascii="Times New Roman" w:hAnsi="Times New Roman" w:cs="Times New Roman"/>
          <w:i/>
          <w:iCs/>
          <w:sz w:val="24"/>
          <w:szCs w:val="24"/>
        </w:rPr>
        <w:t>SmartPLS</w:t>
      </w:r>
      <w:proofErr w:type="spellEnd"/>
      <w:r w:rsidRPr="00435582">
        <w:rPr>
          <w:rFonts w:ascii="Times New Roman" w:hAnsi="Times New Roman" w:cs="Times New Roman"/>
          <w:i/>
          <w:iCs/>
          <w:sz w:val="24"/>
          <w:szCs w:val="24"/>
        </w:rPr>
        <w:t xml:space="preserve"> version 3.2.9 software. The results indicate that digital payment and online reviews have a positive and significant effect on consumer purchase intention. These findings suggest that the convenience of digital payment systems and credible online reviews can enhance consumers' purchase intentions toward </w:t>
      </w:r>
      <w:proofErr w:type="spellStart"/>
      <w:r w:rsidRPr="00435582">
        <w:rPr>
          <w:rFonts w:ascii="Times New Roman" w:hAnsi="Times New Roman" w:cs="Times New Roman"/>
          <w:i/>
          <w:iCs/>
          <w:sz w:val="24"/>
          <w:szCs w:val="24"/>
        </w:rPr>
        <w:t>Gedong</w:t>
      </w:r>
      <w:proofErr w:type="spellEnd"/>
      <w:r w:rsidRPr="00435582">
        <w:rPr>
          <w:rFonts w:ascii="Times New Roman" w:hAnsi="Times New Roman" w:cs="Times New Roman"/>
          <w:i/>
          <w:iCs/>
          <w:sz w:val="24"/>
          <w:szCs w:val="24"/>
        </w:rPr>
        <w:t xml:space="preserve"> Roti MSMEs.</w:t>
      </w:r>
    </w:p>
    <w:p w14:paraId="41262D3F" w14:textId="69ED4466" w:rsidR="00435582" w:rsidRPr="00435582" w:rsidRDefault="00435582" w:rsidP="00435582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55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Keywords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 xml:space="preserve">: Digital Payment, Online Review, Consumer Purchase Intention, </w:t>
      </w:r>
      <w:proofErr w:type="spellStart"/>
      <w:r w:rsidRPr="00435582">
        <w:rPr>
          <w:rFonts w:ascii="Times New Roman" w:hAnsi="Times New Roman" w:cs="Times New Roman"/>
          <w:i/>
          <w:iCs/>
          <w:sz w:val="24"/>
          <w:szCs w:val="24"/>
        </w:rPr>
        <w:t>Gedong</w:t>
      </w:r>
      <w:proofErr w:type="spellEnd"/>
      <w:r w:rsidRPr="00435582">
        <w:rPr>
          <w:rFonts w:ascii="Times New Roman" w:hAnsi="Times New Roman" w:cs="Times New Roman"/>
          <w:i/>
          <w:iCs/>
          <w:sz w:val="24"/>
          <w:szCs w:val="24"/>
        </w:rPr>
        <w:t xml:space="preserve"> Roti MSMEs, SEM-PLS.</w:t>
      </w:r>
    </w:p>
    <w:p w14:paraId="70A2AC1D" w14:textId="77777777" w:rsidR="00435582" w:rsidRPr="00435582" w:rsidRDefault="00435582" w:rsidP="00435582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35582"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p w14:paraId="0159ED2F" w14:textId="77777777" w:rsidR="00435582" w:rsidRPr="00435582" w:rsidRDefault="00435582" w:rsidP="00435582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 xml:space="preserve">digital payment </w:t>
      </w:r>
      <w:r w:rsidRPr="00435582">
        <w:rPr>
          <w:rFonts w:ascii="Times New Roman" w:hAnsi="Times New Roman" w:cs="Times New Roman"/>
          <w:sz w:val="24"/>
          <w:szCs w:val="24"/>
        </w:rPr>
        <w:t xml:space="preserve">dan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online review</w:t>
      </w:r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pada UMKM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Gedong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Roti di Kota Denpasar.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purposive sampling</w:t>
      </w:r>
      <w:r w:rsidRPr="00435582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 xml:space="preserve">Structural Equation </w:t>
      </w:r>
      <w:proofErr w:type="spellStart"/>
      <w:r w:rsidRPr="00435582">
        <w:rPr>
          <w:rFonts w:ascii="Times New Roman" w:hAnsi="Times New Roman" w:cs="Times New Roman"/>
          <w:i/>
          <w:iCs/>
          <w:sz w:val="24"/>
          <w:szCs w:val="24"/>
        </w:rPr>
        <w:t>Modeling</w:t>
      </w:r>
      <w:proofErr w:type="spellEnd"/>
      <w:r w:rsidRPr="00435582">
        <w:rPr>
          <w:rFonts w:ascii="Times New Roman" w:hAnsi="Times New Roman" w:cs="Times New Roman"/>
          <w:i/>
          <w:iCs/>
          <w:sz w:val="24"/>
          <w:szCs w:val="24"/>
        </w:rPr>
        <w:t xml:space="preserve"> Partial Least Squares (SEM-PLS)</w:t>
      </w:r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i/>
          <w:iCs/>
          <w:sz w:val="24"/>
          <w:szCs w:val="24"/>
        </w:rPr>
        <w:t>SmartPLS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3.2.9. Hasil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digital payment</w:t>
      </w:r>
      <w:r w:rsidRPr="00435582">
        <w:rPr>
          <w:rFonts w:ascii="Times New Roman" w:hAnsi="Times New Roman" w:cs="Times New Roman"/>
          <w:sz w:val="24"/>
          <w:szCs w:val="24"/>
        </w:rPr>
        <w:t xml:space="preserve"> dan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online review</w:t>
      </w:r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digital dan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ulasan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Pr="004355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kredibel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pada UMKM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Gedong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Roti.</w:t>
      </w:r>
    </w:p>
    <w:p w14:paraId="34FA94AF" w14:textId="1E814B81" w:rsidR="00435582" w:rsidRPr="00435582" w:rsidRDefault="00435582" w:rsidP="00435582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Kata </w:t>
      </w:r>
      <w:proofErr w:type="spellStart"/>
      <w:r w:rsidRPr="00435582">
        <w:rPr>
          <w:rFonts w:ascii="Times New Roman" w:hAnsi="Times New Roman" w:cs="Times New Roman"/>
          <w:b/>
          <w:bCs/>
          <w:sz w:val="24"/>
          <w:szCs w:val="24"/>
          <w:lang w:val="en-US"/>
        </w:rPr>
        <w:t>kunci</w:t>
      </w:r>
      <w:proofErr w:type="spellEnd"/>
      <w:r w:rsidRPr="0043558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4355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Digital Payment</w:t>
      </w:r>
      <w:r w:rsidRPr="00435582">
        <w:rPr>
          <w:rFonts w:ascii="Times New Roman" w:hAnsi="Times New Roman" w:cs="Times New Roman"/>
          <w:sz w:val="24"/>
          <w:szCs w:val="24"/>
        </w:rPr>
        <w:t xml:space="preserve">,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Online Review</w:t>
      </w:r>
      <w:r w:rsidRPr="004355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Beli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, UMKM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Gedong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Roti,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SEM-</w:t>
      </w:r>
      <w:proofErr w:type="gramStart"/>
      <w:r w:rsidRPr="00435582">
        <w:rPr>
          <w:rFonts w:ascii="Times New Roman" w:hAnsi="Times New Roman" w:cs="Times New Roman"/>
          <w:i/>
          <w:iCs/>
          <w:sz w:val="24"/>
          <w:szCs w:val="24"/>
        </w:rPr>
        <w:t>PLS</w:t>
      </w:r>
      <w:r w:rsidRPr="00435582">
        <w:rPr>
          <w:rFonts w:ascii="Times New Roman" w:hAnsi="Times New Roman" w:cs="Times New Roman"/>
          <w:sz w:val="24"/>
          <w:szCs w:val="24"/>
        </w:rPr>
        <w:t>.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14:paraId="69FD6FE9" w14:textId="26A3236F" w:rsidR="00840395" w:rsidRPr="00435582" w:rsidRDefault="00840395" w:rsidP="00435582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</w:p>
    <w:p w14:paraId="7D3517CA" w14:textId="6DE951A7" w:rsidR="00241006" w:rsidRPr="00435582" w:rsidRDefault="00241006" w:rsidP="00435582">
      <w:pPr>
        <w:spacing w:line="276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</w:pPr>
      <w:bookmarkStart w:id="0" w:name="_Toc189821599"/>
      <w:bookmarkStart w:id="1" w:name="_Toc202184141"/>
      <w:bookmarkStart w:id="2" w:name="_Toc214721627"/>
      <w:bookmarkStart w:id="3" w:name="_Toc217842569"/>
      <w:r w:rsidRPr="004355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bookmarkEnd w:id="0"/>
      <w:bookmarkEnd w:id="1"/>
      <w:bookmarkEnd w:id="2"/>
      <w:bookmarkEnd w:id="3"/>
    </w:p>
    <w:p w14:paraId="11A8ADE9" w14:textId="6C19035E" w:rsidR="001F4267" w:rsidRPr="00435582" w:rsidRDefault="00435582" w:rsidP="00435582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ab/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Perkembangan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teknologi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digital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telah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membawa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perubahan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signifikan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terhadap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perilaku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konsumen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melakukan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aktivitas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transaksi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pengambilan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keputusan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pembelian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Transformasi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digital yang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terjadi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berbagai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sektor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bisnis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mendorong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pelaku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usaha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untuk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memanfaatkan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teknologi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sebagai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sarana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meningkatkan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kualitas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layanan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daya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saing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usaha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Salah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satu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bentuk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pemanfaatan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teknologi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tersebut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adalah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penggunaan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sistem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pembayaran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digital </w:t>
      </w:r>
      <w:r w:rsidR="001F4267" w:rsidRPr="0043558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(digital payment)</w:t>
      </w:r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penyediaan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informasi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melalui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ulasan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daring </w:t>
      </w:r>
      <w:r w:rsidR="001F4267" w:rsidRPr="0043558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(online review)</w:t>
      </w:r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semakin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banyak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digunakan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konsumen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pembelian</w:t>
      </w:r>
      <w:proofErr w:type="spellEnd"/>
      <w:r w:rsidR="001F4267"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0F248A9B" w14:textId="77777777" w:rsidR="001F4267" w:rsidRPr="00435582" w:rsidRDefault="001F4267" w:rsidP="00435582">
      <w:pPr>
        <w:pStyle w:val="ListParagraph"/>
        <w:tabs>
          <w:tab w:val="left" w:pos="709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3558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Digital payment</w:t>
      </w:r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merupakan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sistem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pembayaran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non-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tunai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memanfaatkan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teknologi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digital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untuk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mempermudah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transaksi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antara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konsumen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pelaku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usaha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Kehadiran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berbagai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layanan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pembayaran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digital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seperti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QRIS, OVO, DANA,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GoPay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ShopeePay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memberikan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kemudahan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kecepatan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serta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keamanan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bertransaksi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Kemudahan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tersebut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tidak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hanya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meningkatkan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efisiensi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pembayaran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tetapi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mampu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memberikan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pengalaman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transaksi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lebih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praktis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bagi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konsumen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Semakin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tinggi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persepsi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konsumen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terhadap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manfaat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kemudahan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penggunaan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teknologi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pembayaran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digital,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semakin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besar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kemungkinan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konsumen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memiliki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keinginan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untuk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melakukan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pembelian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07E61050" w14:textId="77777777" w:rsidR="001F4267" w:rsidRPr="00435582" w:rsidRDefault="001F4267" w:rsidP="00435582">
      <w:pPr>
        <w:pStyle w:val="ListParagraph"/>
        <w:tabs>
          <w:tab w:val="left" w:pos="709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Selain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digital payment</w:t>
      </w:r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online review</w:t>
      </w:r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menjadi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faktor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penting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memengaruhi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perilaku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konsumen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era digital.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Sebelum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melakukan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pembelian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konsumen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cenderung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mencari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informasi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mengenai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produk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atau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jasa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melalui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ulasan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diberikan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pelanggan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lain pada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berbagai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platform digital.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Online review</w:t>
      </w:r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dianggap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sebagai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sumber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informasi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relatif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objektif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karena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berasal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pengalaman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nyata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pengguna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sebelumnya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Ulasan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positif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dapat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meningkatkan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kepercayaan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konsumen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terhadap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kualitas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produk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maupun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layanan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ditawarkan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sedangkan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ulasan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negatif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dapat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menurunkan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minat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konsumen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untuk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melakukan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pembelian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200C82CA" w14:textId="77777777" w:rsidR="001F4267" w:rsidRPr="00435582" w:rsidRDefault="001F4267" w:rsidP="00435582">
      <w:pPr>
        <w:pStyle w:val="ListParagraph"/>
        <w:tabs>
          <w:tab w:val="left" w:pos="709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UMKM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Gedong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Roti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sebagai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satu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usaha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kuliner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Kota Denpasar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telah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menerapkan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sistem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pembayaran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digital dan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memanfaatkan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media digital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sebagai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sarana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komunikasi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dengan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pelanggan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Kondisi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ini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menjadikan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Gedong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Roti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sebagai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objek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relevan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untuk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mengkaji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bagaimana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digital payment</w:t>
      </w:r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online review</w:t>
      </w:r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memengaruhi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niat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beli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konsumen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praktiknya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konsumen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tidak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hanya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mempertimbangkan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kualitas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produk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tetapi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kemudahan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transaksi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serta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informasi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diperoleh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melalui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ulasan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daring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sebelum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memutuskan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untuk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melakukan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pembelian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B023BED" w14:textId="77777777" w:rsidR="001F4267" w:rsidRPr="00435582" w:rsidRDefault="001F4267" w:rsidP="00435582">
      <w:pPr>
        <w:pStyle w:val="ListParagraph"/>
        <w:tabs>
          <w:tab w:val="left" w:pos="709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Penelitian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ini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didasarkan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pada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Technology Acceptance Model (TAM)</w:t>
      </w:r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Theory of Planned Behavior (TPB)</w:t>
      </w:r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TAM</w:t>
      </w:r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menjelaskan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bahwa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penerimaan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teknologi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dipengaruhi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persepsi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manfaat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kemudahan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penggunaan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teknologi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sedangkan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TPB</w:t>
      </w:r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menjelaskan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bahwa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niat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seseorang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untuk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melakukan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suatu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perilaku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dipengaruhi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sikap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norma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sosial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kontrol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perilaku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dirasakan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Integrasi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kedua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teori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tersebut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memberikan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landasan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komprehensif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untuk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menjelaskan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hubungan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antara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digital payment</w:t>
      </w:r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online review</w:t>
      </w:r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niat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beli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konsumen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3FC1C3F2" w14:textId="77777777" w:rsidR="001F4267" w:rsidRPr="00435582" w:rsidRDefault="001F4267" w:rsidP="00435582">
      <w:pPr>
        <w:pStyle w:val="ListParagraph"/>
        <w:tabs>
          <w:tab w:val="left" w:pos="709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Berdasarkan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uraian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tersebut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penelitian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ini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bertujuan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untuk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menganalisis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pengaruh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digital payment</w:t>
      </w:r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dan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online review</w:t>
      </w:r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terhadap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niat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beli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konsumen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pada UMKM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Gedong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Roti di Kota Denpasar. Hasil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penelitian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diharapkan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dapat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memberikan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kontribusi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bagi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pengembangan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literatur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pemasaran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digital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serta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menjadi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masukan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bagi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pelaku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UMKM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merancang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strategi yang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mampu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meningkatkan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minat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beli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konsumen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melalui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optimalisasi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layanan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pembayaran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digital dan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pengelolaan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ulasan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pelanggan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secara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efektif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7848F125" w14:textId="753DEF22" w:rsidR="00930AAD" w:rsidRPr="00435582" w:rsidRDefault="00930AAD" w:rsidP="00435582">
      <w:pPr>
        <w:pStyle w:val="ListParagraph"/>
        <w:tabs>
          <w:tab w:val="left" w:pos="709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sv-SE"/>
        </w:rPr>
        <w:sectPr w:rsidR="00930AAD" w:rsidRPr="00435582" w:rsidSect="00435582">
          <w:headerReference w:type="even" r:id="rId9"/>
          <w:headerReference w:type="first" r:id="rId10"/>
          <w:footerReference w:type="first" r:id="rId11"/>
          <w:type w:val="continuous"/>
          <w:pgSz w:w="11906" w:h="16838" w:code="9"/>
          <w:pgMar w:top="1699" w:right="749" w:bottom="1411" w:left="850" w:header="709" w:footer="709" w:gutter="0"/>
          <w:cols w:space="708"/>
          <w:titlePg/>
          <w:docGrid w:linePitch="360"/>
        </w:sectPr>
      </w:pPr>
      <w:r w:rsidRPr="00435582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6636EF0C" w14:textId="7DD6C58A" w:rsidR="002C56B4" w:rsidRPr="00435582" w:rsidRDefault="002C56B4" w:rsidP="00435582">
      <w:pPr>
        <w:pStyle w:val="Heading1"/>
        <w:spacing w:line="276" w:lineRule="auto"/>
        <w:jc w:val="left"/>
        <w:rPr>
          <w:rFonts w:cs="Times New Roman"/>
          <w:szCs w:val="24"/>
          <w:lang w:val="sv-SE"/>
        </w:rPr>
      </w:pPr>
      <w:bookmarkStart w:id="4" w:name="_Toc202184157"/>
      <w:bookmarkStart w:id="5" w:name="_Toc214721643"/>
      <w:bookmarkStart w:id="6" w:name="_Toc217842588"/>
      <w:r w:rsidRPr="00435582">
        <w:rPr>
          <w:rFonts w:cs="Times New Roman"/>
          <w:szCs w:val="24"/>
          <w:lang w:val="sv-SE"/>
        </w:rPr>
        <w:t>METODE PENELITIAN</w:t>
      </w:r>
      <w:bookmarkEnd w:id="4"/>
      <w:bookmarkEnd w:id="5"/>
      <w:bookmarkEnd w:id="6"/>
    </w:p>
    <w:p w14:paraId="07765E93" w14:textId="179436F0" w:rsidR="006F7791" w:rsidRPr="00435582" w:rsidRDefault="0036084A" w:rsidP="004355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pendekatan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kuantitatif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survei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menganalisis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pengaruh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digital payment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online review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niat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beli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pada UMKM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Gedong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Roti di Kota Denpasar. Data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diperoleh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melalui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penyebaran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kuesioner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kepada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responden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memenuhi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lastRenderedPageBreak/>
        <w:t>kriteria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Pendekatan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kuantitatif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dipilih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mengukur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hubungan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antarvariabel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objektif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melalui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analisis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statistik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8AC654" w14:textId="5D040762" w:rsidR="0036084A" w:rsidRPr="00435582" w:rsidRDefault="0036084A" w:rsidP="004355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Populasi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seluruh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UMKM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Gedong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Roti di Kota Denpasar. Teknik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pengambilan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sampel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non-probability sampling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metode</w:t>
      </w:r>
      <w:proofErr w:type="spellEnd"/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purposive sampling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. Sampel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berjumlah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120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responden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dipilih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kriteria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berdomisili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di Kota Denpasar,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pernah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membeli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produk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Gedong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Roti,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pernah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digital payment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serta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pernah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memperhatikan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online review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sebelum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pembelian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B770B2" w14:textId="1C8CED4F" w:rsidR="0036084A" w:rsidRPr="00435582" w:rsidRDefault="0036084A" w:rsidP="004355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Variabel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terdiri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digital payment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(X1) dan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online review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(X2)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variabel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independen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serta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niat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beli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(Y)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variabel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dependen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Variabel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digital payment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diukur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melalui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indikator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kemudahan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penggunaan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kecepatan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transaksi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keamanan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pembayaran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, dan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kenyamanan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transaksi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Variabel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online review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diukur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melalui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kredibilitas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ulasan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kualitas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informasi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jumlah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ulasan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, dan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pengaruh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ulasan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sedangkan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niat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beli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diukur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melalui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minat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transaksional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referensial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preferensial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, dan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eksploratif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0C6BD9" w14:textId="0A39C5E4" w:rsidR="0036084A" w:rsidRPr="00435582" w:rsidRDefault="0036084A" w:rsidP="004355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Pengumpulan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kuesioner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skala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Likert 4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poin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mulai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sangat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setuju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hingga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sangat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setuju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. Data yang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terkumpul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dianalisis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Structural Equation </w:t>
      </w:r>
      <w:proofErr w:type="spellStart"/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Modeling</w:t>
      </w:r>
      <w:proofErr w:type="spellEnd"/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–Partial Least Squares (SEM-PLS)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bantuan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perangkat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lunak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SmartPLS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versi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3.2.9.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Analisis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melalui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evaluasi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outer model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inner model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menguji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validitas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reliabilitas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serta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hubungan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antarvariabel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534D55" w14:textId="77777777" w:rsidR="0036084A" w:rsidRPr="00435582" w:rsidRDefault="0036084A" w:rsidP="0043558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7D80F1D" w14:textId="6134C64A" w:rsidR="00E11E65" w:rsidRPr="00435582" w:rsidRDefault="00E11E65" w:rsidP="0043558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  <w:sectPr w:rsidR="00E11E65" w:rsidRPr="00435582" w:rsidSect="00435582">
          <w:footerReference w:type="default" r:id="rId12"/>
          <w:headerReference w:type="first" r:id="rId13"/>
          <w:type w:val="continuous"/>
          <w:pgSz w:w="11906" w:h="16838" w:code="9"/>
          <w:pgMar w:top="1699" w:right="749" w:bottom="1411" w:left="850" w:header="709" w:footer="709" w:gutter="0"/>
          <w:cols w:space="708"/>
          <w:titlePg/>
          <w:docGrid w:linePitch="360"/>
        </w:sectPr>
      </w:pPr>
    </w:p>
    <w:p w14:paraId="5BC624E3" w14:textId="67A0ED38" w:rsidR="006F7791" w:rsidRPr="00435582" w:rsidRDefault="003F1543" w:rsidP="00435582">
      <w:pPr>
        <w:pStyle w:val="Heading1"/>
        <w:spacing w:line="276" w:lineRule="auto"/>
        <w:jc w:val="left"/>
        <w:rPr>
          <w:rFonts w:cs="Times New Roman"/>
          <w:szCs w:val="24"/>
        </w:rPr>
      </w:pPr>
      <w:bookmarkStart w:id="7" w:name="_Toc217842603"/>
      <w:bookmarkStart w:id="8" w:name="_Toc214721663"/>
      <w:r w:rsidRPr="00435582">
        <w:rPr>
          <w:rFonts w:cs="Times New Roman"/>
          <w:szCs w:val="24"/>
        </w:rPr>
        <w:t xml:space="preserve">HASIL PENELITIAN DAN </w:t>
      </w:r>
      <w:r w:rsidR="006F7791" w:rsidRPr="00435582">
        <w:rPr>
          <w:rFonts w:cs="Times New Roman"/>
          <w:szCs w:val="24"/>
        </w:rPr>
        <w:t>PEMBAHASAN</w:t>
      </w:r>
      <w:bookmarkEnd w:id="7"/>
      <w:bookmarkEnd w:id="8"/>
    </w:p>
    <w:p w14:paraId="24E8989C" w14:textId="15D3A228" w:rsidR="00DE0C63" w:rsidRPr="00435582" w:rsidRDefault="002A1ADA" w:rsidP="00435582">
      <w:pPr>
        <w:pStyle w:val="Heading2"/>
        <w:numPr>
          <w:ilvl w:val="0"/>
          <w:numId w:val="0"/>
        </w:numPr>
        <w:spacing w:before="0" w:after="0" w:line="276" w:lineRule="auto"/>
        <w:rPr>
          <w:rFonts w:eastAsia="Calibri" w:cs="Times New Roman"/>
          <w:szCs w:val="24"/>
          <w:lang w:val="sv-SE"/>
        </w:rPr>
      </w:pPr>
      <w:bookmarkStart w:id="9" w:name="_Toc217842604"/>
      <w:r w:rsidRPr="00435582">
        <w:rPr>
          <w:rFonts w:eastAsia="Calibri" w:cs="Times New Roman"/>
          <w:szCs w:val="24"/>
          <w:lang w:val="sv-SE"/>
        </w:rPr>
        <w:t>Hasil</w:t>
      </w:r>
      <w:r w:rsidR="00BD45BD" w:rsidRPr="00435582">
        <w:rPr>
          <w:rFonts w:eastAsia="Calibri" w:cs="Times New Roman"/>
          <w:szCs w:val="24"/>
          <w:lang w:val="sv-SE"/>
        </w:rPr>
        <w:t xml:space="preserve"> Penelitian</w:t>
      </w:r>
      <w:bookmarkEnd w:id="9"/>
    </w:p>
    <w:p w14:paraId="00FC3FDF" w14:textId="58333F70" w:rsidR="003A3EBE" w:rsidRPr="00435582" w:rsidRDefault="00D837BD" w:rsidP="00435582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435582">
        <w:rPr>
          <w:rFonts w:ascii="Times New Roman" w:eastAsia="Calibri" w:hAnsi="Times New Roman" w:cs="Times New Roman"/>
          <w:sz w:val="24"/>
          <w:szCs w:val="24"/>
          <w:lang w:val="sv-SE"/>
        </w:rPr>
        <w:t>Tabel 1. Kriteria Gender Responden</w:t>
      </w:r>
      <w:r w:rsidR="008D5421" w:rsidRPr="00435582">
        <w:rPr>
          <w:rFonts w:ascii="Times New Roman" w:eastAsia="Calibri" w:hAnsi="Times New Roman" w:cs="Times New Roman"/>
          <w:sz w:val="24"/>
          <w:szCs w:val="24"/>
          <w:lang w:val="sv-SE"/>
        </w:rPr>
        <w:t>.</w:t>
      </w:r>
    </w:p>
    <w:p w14:paraId="2A204A28" w14:textId="5AFA1FDD" w:rsidR="002927A3" w:rsidRPr="00435582" w:rsidRDefault="00D837BD" w:rsidP="00435582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435582">
        <w:rPr>
          <w:rFonts w:ascii="Times New Roman" w:eastAsia="Calibri" w:hAnsi="Times New Roman" w:cs="Times New Roman"/>
          <w:noProof/>
          <w:sz w:val="24"/>
          <w:szCs w:val="24"/>
          <w:lang w:val="sv-SE"/>
        </w:rPr>
        <w:drawing>
          <wp:inline distT="0" distB="0" distL="0" distR="0" wp14:anchorId="48A55A72" wp14:editId="7FC7CBB0">
            <wp:extent cx="2785928" cy="926897"/>
            <wp:effectExtent l="0" t="0" r="0" b="6985"/>
            <wp:docPr id="735684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68400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30517" cy="9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E8324" w14:textId="77777777" w:rsidR="008D5421" w:rsidRPr="00435582" w:rsidRDefault="002927A3" w:rsidP="00435582">
      <w:pPr>
        <w:spacing w:line="276" w:lineRule="auto"/>
        <w:ind w:firstLine="63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166F2" w:rsidRPr="00435582">
        <w:rPr>
          <w:rFonts w:ascii="Times New Roman" w:eastAsia="Calibri" w:hAnsi="Times New Roman" w:cs="Times New Roman"/>
          <w:sz w:val="24"/>
          <w:szCs w:val="24"/>
        </w:rPr>
        <w:t>t</w:t>
      </w:r>
      <w:r w:rsidRPr="00435582">
        <w:rPr>
          <w:rFonts w:ascii="Times New Roman" w:eastAsia="Calibri" w:hAnsi="Times New Roman" w:cs="Times New Roman"/>
          <w:sz w:val="24"/>
          <w:szCs w:val="24"/>
        </w:rPr>
        <w:t>abel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1,</w:t>
      </w:r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D5421" w:rsidRPr="00435582">
        <w:rPr>
          <w:rFonts w:ascii="Times New Roman" w:eastAsia="Calibri" w:hAnsi="Times New Roman" w:cs="Times New Roman"/>
          <w:sz w:val="24"/>
          <w:szCs w:val="24"/>
        </w:rPr>
        <w:t>menunjukkan</w:t>
      </w:r>
      <w:proofErr w:type="spellEnd"/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D5421" w:rsidRPr="00435582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D5421" w:rsidRPr="00435582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 120 </w:t>
      </w:r>
      <w:proofErr w:type="spellStart"/>
      <w:r w:rsidR="008D5421" w:rsidRPr="00435582">
        <w:rPr>
          <w:rFonts w:ascii="Times New Roman" w:eastAsia="Calibri" w:hAnsi="Times New Roman" w:cs="Times New Roman"/>
          <w:sz w:val="24"/>
          <w:szCs w:val="24"/>
        </w:rPr>
        <w:t>responden</w:t>
      </w:r>
      <w:proofErr w:type="spellEnd"/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8D5421" w:rsidRPr="00435582">
        <w:rPr>
          <w:rFonts w:ascii="Times New Roman" w:eastAsia="Calibri" w:hAnsi="Times New Roman" w:cs="Times New Roman"/>
          <w:sz w:val="24"/>
          <w:szCs w:val="24"/>
        </w:rPr>
        <w:t>mayoritas</w:t>
      </w:r>
      <w:proofErr w:type="spellEnd"/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D5421" w:rsidRPr="00435582">
        <w:rPr>
          <w:rFonts w:ascii="Times New Roman" w:eastAsia="Calibri" w:hAnsi="Times New Roman" w:cs="Times New Roman"/>
          <w:sz w:val="24"/>
          <w:szCs w:val="24"/>
        </w:rPr>
        <w:t>berjenis</w:t>
      </w:r>
      <w:proofErr w:type="spellEnd"/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D5421" w:rsidRPr="00435582">
        <w:rPr>
          <w:rFonts w:ascii="Times New Roman" w:eastAsia="Calibri" w:hAnsi="Times New Roman" w:cs="Times New Roman"/>
          <w:sz w:val="24"/>
          <w:szCs w:val="24"/>
        </w:rPr>
        <w:t>kelamin</w:t>
      </w:r>
      <w:proofErr w:type="spellEnd"/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D5421" w:rsidRPr="00435582">
        <w:rPr>
          <w:rFonts w:ascii="Times New Roman" w:eastAsia="Calibri" w:hAnsi="Times New Roman" w:cs="Times New Roman"/>
          <w:sz w:val="24"/>
          <w:szCs w:val="24"/>
        </w:rPr>
        <w:t>perempuan</w:t>
      </w:r>
      <w:proofErr w:type="spellEnd"/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D5421" w:rsidRPr="00435582">
        <w:rPr>
          <w:rFonts w:ascii="Times New Roman" w:eastAsia="Calibri" w:hAnsi="Times New Roman" w:cs="Times New Roman"/>
          <w:sz w:val="24"/>
          <w:szCs w:val="24"/>
        </w:rPr>
        <w:t>sebanyak</w:t>
      </w:r>
      <w:proofErr w:type="spellEnd"/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 71 orang (59,2%), </w:t>
      </w:r>
      <w:proofErr w:type="spellStart"/>
      <w:r w:rsidR="008D5421" w:rsidRPr="00435582">
        <w:rPr>
          <w:rFonts w:ascii="Times New Roman" w:eastAsia="Calibri" w:hAnsi="Times New Roman" w:cs="Times New Roman"/>
          <w:sz w:val="24"/>
          <w:szCs w:val="24"/>
        </w:rPr>
        <w:t>sedangkan</w:t>
      </w:r>
      <w:proofErr w:type="spellEnd"/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D5421" w:rsidRPr="00435582">
        <w:rPr>
          <w:rFonts w:ascii="Times New Roman" w:eastAsia="Calibri" w:hAnsi="Times New Roman" w:cs="Times New Roman"/>
          <w:sz w:val="24"/>
          <w:szCs w:val="24"/>
        </w:rPr>
        <w:t>laki-laki</w:t>
      </w:r>
      <w:proofErr w:type="spellEnd"/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D5421" w:rsidRPr="00435582">
        <w:rPr>
          <w:rFonts w:ascii="Times New Roman" w:eastAsia="Calibri" w:hAnsi="Times New Roman" w:cs="Times New Roman"/>
          <w:sz w:val="24"/>
          <w:szCs w:val="24"/>
        </w:rPr>
        <w:t>sebanyak</w:t>
      </w:r>
      <w:proofErr w:type="spellEnd"/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 49 orang (40,8%). Hasil </w:t>
      </w:r>
      <w:proofErr w:type="spellStart"/>
      <w:r w:rsidR="008D5421" w:rsidRPr="00435582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D5421" w:rsidRPr="00435582">
        <w:rPr>
          <w:rFonts w:ascii="Times New Roman" w:eastAsia="Calibri" w:hAnsi="Times New Roman" w:cs="Times New Roman"/>
          <w:sz w:val="24"/>
          <w:szCs w:val="24"/>
        </w:rPr>
        <w:t>menunjukkan</w:t>
      </w:r>
      <w:proofErr w:type="spellEnd"/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D5421" w:rsidRPr="00435582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D5421" w:rsidRPr="00435582">
        <w:rPr>
          <w:rFonts w:ascii="Times New Roman" w:eastAsia="Calibri" w:hAnsi="Times New Roman" w:cs="Times New Roman"/>
          <w:sz w:val="24"/>
          <w:szCs w:val="24"/>
        </w:rPr>
        <w:t>responden</w:t>
      </w:r>
      <w:proofErr w:type="spellEnd"/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D5421" w:rsidRPr="00435582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D5421" w:rsidRPr="00435582">
        <w:rPr>
          <w:rFonts w:ascii="Times New Roman" w:eastAsia="Calibri" w:hAnsi="Times New Roman" w:cs="Times New Roman"/>
          <w:sz w:val="24"/>
          <w:szCs w:val="24"/>
        </w:rPr>
        <w:t>didominasi</w:t>
      </w:r>
      <w:proofErr w:type="spellEnd"/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 oleh </w:t>
      </w:r>
      <w:proofErr w:type="spellStart"/>
      <w:r w:rsidR="008D5421" w:rsidRPr="00435582">
        <w:rPr>
          <w:rFonts w:ascii="Times New Roman" w:eastAsia="Calibri" w:hAnsi="Times New Roman" w:cs="Times New Roman"/>
          <w:sz w:val="24"/>
          <w:szCs w:val="24"/>
        </w:rPr>
        <w:t>perempuan</w:t>
      </w:r>
      <w:proofErr w:type="spellEnd"/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D5421" w:rsidRPr="00435582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D5421" w:rsidRPr="00435582">
        <w:rPr>
          <w:rFonts w:ascii="Times New Roman" w:eastAsia="Calibri" w:hAnsi="Times New Roman" w:cs="Times New Roman"/>
          <w:sz w:val="24"/>
          <w:szCs w:val="24"/>
        </w:rPr>
        <w:t>konsumen</w:t>
      </w:r>
      <w:proofErr w:type="spellEnd"/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 UMKM </w:t>
      </w:r>
      <w:proofErr w:type="spellStart"/>
      <w:r w:rsidR="008D5421" w:rsidRPr="00435582">
        <w:rPr>
          <w:rFonts w:ascii="Times New Roman" w:eastAsia="Calibri" w:hAnsi="Times New Roman" w:cs="Times New Roman"/>
          <w:sz w:val="24"/>
          <w:szCs w:val="24"/>
        </w:rPr>
        <w:t>Gedong</w:t>
      </w:r>
      <w:proofErr w:type="spellEnd"/>
      <w:r w:rsidR="008D5421" w:rsidRPr="00435582">
        <w:rPr>
          <w:rFonts w:ascii="Times New Roman" w:eastAsia="Calibri" w:hAnsi="Times New Roman" w:cs="Times New Roman"/>
          <w:sz w:val="24"/>
          <w:szCs w:val="24"/>
        </w:rPr>
        <w:t xml:space="preserve"> Roti. </w:t>
      </w:r>
    </w:p>
    <w:p w14:paraId="394D06AD" w14:textId="0B49ABE3" w:rsidR="000166F2" w:rsidRPr="00435582" w:rsidRDefault="000166F2" w:rsidP="00435582">
      <w:pPr>
        <w:spacing w:line="276" w:lineRule="auto"/>
        <w:ind w:firstLine="720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Tabel. 2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8D5421" w:rsidRPr="00435582">
        <w:rPr>
          <w:rFonts w:ascii="Times New Roman" w:hAnsi="Times New Roman" w:cs="Times New Roman"/>
          <w:sz w:val="24"/>
          <w:szCs w:val="24"/>
        </w:rPr>
        <w:t>.</w:t>
      </w:r>
    </w:p>
    <w:p w14:paraId="0BEAD80F" w14:textId="16130CFA" w:rsidR="000166F2" w:rsidRPr="00435582" w:rsidRDefault="00DF2EBA" w:rsidP="00435582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5582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78DDD648" wp14:editId="4B960E7B">
            <wp:extent cx="2882900" cy="1214763"/>
            <wp:effectExtent l="0" t="0" r="0" b="4445"/>
            <wp:docPr id="10418018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370" cy="121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F94AF" w14:textId="615FD79D" w:rsidR="003A574F" w:rsidRPr="00435582" w:rsidRDefault="000166F2" w:rsidP="00435582">
      <w:pPr>
        <w:spacing w:line="276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2,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mayoritas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rentang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22</w:t>
      </w:r>
      <w:r w:rsidR="008D5421" w:rsidRPr="004355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28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72 orang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60,0%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total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dominan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Berikutnya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&gt;28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28 orang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23,3%,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&lt;21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20 orang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16,7%. Hal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memperlihatkan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didominasi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dewasa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muda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fase</w:t>
      </w:r>
      <w:proofErr w:type="spellEnd"/>
      <w:r w:rsidRPr="0043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sz w:val="24"/>
          <w:szCs w:val="24"/>
        </w:rPr>
        <w:t>produktif</w:t>
      </w:r>
      <w:proofErr w:type="spellEnd"/>
    </w:p>
    <w:p w14:paraId="4E9BABDB" w14:textId="77777777" w:rsidR="00435582" w:rsidRDefault="00435582" w:rsidP="00435582">
      <w:pPr>
        <w:spacing w:line="276" w:lineRule="auto"/>
        <w:ind w:firstLine="810"/>
        <w:jc w:val="center"/>
        <w:rPr>
          <w:rFonts w:ascii="Times New Roman" w:hAnsi="Times New Roman" w:cs="Times New Roman"/>
          <w:sz w:val="24"/>
          <w:szCs w:val="24"/>
        </w:rPr>
      </w:pPr>
    </w:p>
    <w:p w14:paraId="7D76523F" w14:textId="77777777" w:rsidR="00435582" w:rsidRDefault="00435582" w:rsidP="00435582">
      <w:pPr>
        <w:spacing w:line="276" w:lineRule="auto"/>
        <w:ind w:firstLine="810"/>
        <w:jc w:val="center"/>
        <w:rPr>
          <w:rFonts w:ascii="Times New Roman" w:hAnsi="Times New Roman" w:cs="Times New Roman"/>
          <w:sz w:val="24"/>
          <w:szCs w:val="24"/>
        </w:rPr>
      </w:pPr>
    </w:p>
    <w:p w14:paraId="5314402A" w14:textId="77777777" w:rsidR="00435582" w:rsidRDefault="00435582" w:rsidP="00435582">
      <w:pPr>
        <w:spacing w:line="276" w:lineRule="auto"/>
        <w:ind w:firstLine="810"/>
        <w:jc w:val="center"/>
        <w:rPr>
          <w:rFonts w:ascii="Times New Roman" w:hAnsi="Times New Roman" w:cs="Times New Roman"/>
          <w:sz w:val="24"/>
          <w:szCs w:val="24"/>
        </w:rPr>
      </w:pPr>
    </w:p>
    <w:p w14:paraId="7A2DC7BD" w14:textId="3F3E461B" w:rsidR="003A574F" w:rsidRPr="00435582" w:rsidRDefault="003A574F" w:rsidP="00435582">
      <w:pPr>
        <w:spacing w:line="276" w:lineRule="auto"/>
        <w:ind w:firstLine="8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5582">
        <w:rPr>
          <w:rFonts w:ascii="Times New Roman" w:hAnsi="Times New Roman" w:cs="Times New Roman"/>
          <w:sz w:val="24"/>
          <w:szCs w:val="24"/>
        </w:rPr>
        <w:t xml:space="preserve">Tabel. </w:t>
      </w:r>
      <w:r w:rsidR="004B29D1" w:rsidRPr="00435582">
        <w:rPr>
          <w:rFonts w:ascii="Times New Roman" w:hAnsi="Times New Roman" w:cs="Times New Roman"/>
          <w:sz w:val="24"/>
          <w:szCs w:val="24"/>
        </w:rPr>
        <w:t>3</w:t>
      </w:r>
      <w:r w:rsidRPr="00435582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Konvergen</w:t>
      </w:r>
      <w:proofErr w:type="spellEnd"/>
      <w:r w:rsidRPr="00435582">
        <w:rPr>
          <w:rFonts w:ascii="Times New Roman" w:hAnsi="Times New Roman" w:cs="Times New Roman"/>
          <w:i/>
          <w:iCs/>
          <w:sz w:val="24"/>
          <w:szCs w:val="24"/>
        </w:rPr>
        <w:t xml:space="preserve"> Outer Loading</w:t>
      </w:r>
    </w:p>
    <w:p w14:paraId="28CDF6D0" w14:textId="7EBAE1F5" w:rsidR="003A574F" w:rsidRPr="00435582" w:rsidRDefault="003A574F" w:rsidP="00435582">
      <w:pPr>
        <w:spacing w:line="276" w:lineRule="auto"/>
        <w:ind w:firstLine="8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5582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627B7B8C" wp14:editId="0F7D6667">
            <wp:extent cx="3592239" cy="2838450"/>
            <wp:effectExtent l="0" t="0" r="8255" b="0"/>
            <wp:docPr id="1312954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95408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94519" cy="284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72F90" w14:textId="68374279" w:rsidR="003A574F" w:rsidRPr="00435582" w:rsidRDefault="003A574F" w:rsidP="00435582">
      <w:pPr>
        <w:spacing w:line="276" w:lineRule="auto"/>
        <w:ind w:firstLine="81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tabel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29D1" w:rsidRPr="00435582">
        <w:rPr>
          <w:rFonts w:ascii="Times New Roman" w:eastAsia="Calibri" w:hAnsi="Times New Roman" w:cs="Times New Roman"/>
          <w:sz w:val="24"/>
          <w:szCs w:val="24"/>
        </w:rPr>
        <w:t>3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menunjukkan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pengujian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validitas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konvergen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nilai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outer loading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Seluruh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indikator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nilai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outer loading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0,70,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berkisar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antara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0,826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hingga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0,924. Hasil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menunjukkan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seluruh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indikator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merepresentasikan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variabel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diukur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demikian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seluruh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indikator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dinyatakan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valid dan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digunakan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tahap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analisis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berikutnya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9956A6" w14:textId="6EB6C327" w:rsidR="003A574F" w:rsidRPr="00435582" w:rsidRDefault="003A574F" w:rsidP="00435582">
      <w:pPr>
        <w:spacing w:line="276" w:lineRule="auto"/>
        <w:ind w:firstLine="81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Tabel. </w:t>
      </w:r>
      <w:r w:rsidR="004B29D1" w:rsidRPr="00435582">
        <w:rPr>
          <w:rFonts w:ascii="Times New Roman" w:eastAsia="Calibri" w:hAnsi="Times New Roman" w:cs="Times New Roman"/>
          <w:sz w:val="24"/>
          <w:szCs w:val="24"/>
        </w:rPr>
        <w:t>4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Konvergen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Nilai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AVE</w:t>
      </w:r>
    </w:p>
    <w:p w14:paraId="6CC85036" w14:textId="7706E1C5" w:rsidR="003A574F" w:rsidRPr="00435582" w:rsidRDefault="003A574F" w:rsidP="00435582">
      <w:pPr>
        <w:spacing w:line="276" w:lineRule="auto"/>
        <w:ind w:firstLine="8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5582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E103894" wp14:editId="1085E18B">
            <wp:extent cx="3162300" cy="1262234"/>
            <wp:effectExtent l="0" t="0" r="0" b="0"/>
            <wp:docPr id="7908860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88605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73826" cy="126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4A898" w14:textId="4AEE7A9A" w:rsidR="003A574F" w:rsidRPr="00435582" w:rsidRDefault="004B29D1" w:rsidP="00435582">
      <w:pPr>
        <w:spacing w:line="276" w:lineRule="auto"/>
        <w:ind w:firstLine="81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t</w:t>
      </w:r>
      <w:r w:rsidR="003A574F" w:rsidRPr="00435582">
        <w:rPr>
          <w:rFonts w:ascii="Times New Roman" w:eastAsia="Calibri" w:hAnsi="Times New Roman" w:cs="Times New Roman"/>
          <w:sz w:val="24"/>
          <w:szCs w:val="24"/>
        </w:rPr>
        <w:t>abel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sz w:val="24"/>
          <w:szCs w:val="24"/>
        </w:rPr>
        <w:t>4</w:t>
      </w:r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menunjukkan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nilai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574F"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AVE</w:t>
      </w:r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variabel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574F"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Digital Payment</w:t>
      </w:r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(0,815), </w:t>
      </w:r>
      <w:r w:rsidR="003A574F"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Online Review</w:t>
      </w:r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(0,734), dan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Niat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Beli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Konsumen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(0,743)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seluruhnya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berada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batas minimum 0,50. Hasil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menunjukkan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seluruh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variabel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memenuhi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kriteria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validitas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konvergen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menjelaskan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varians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indikatornya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="003A574F" w:rsidRPr="0043558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F265F5" w14:textId="4C3BC09C" w:rsidR="004B29D1" w:rsidRPr="00435582" w:rsidRDefault="004B29D1" w:rsidP="00435582">
      <w:pPr>
        <w:spacing w:line="276" w:lineRule="auto"/>
        <w:ind w:firstLine="8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558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Tabel. 5 </w:t>
      </w:r>
      <w:r w:rsidRPr="00435582"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 w:rsidR="0014056D" w:rsidRPr="00435582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</w:p>
    <w:p w14:paraId="0733AC05" w14:textId="51F737FA" w:rsidR="003A574F" w:rsidRPr="00435582" w:rsidRDefault="004B29D1" w:rsidP="00435582">
      <w:pPr>
        <w:spacing w:line="276" w:lineRule="auto"/>
        <w:ind w:firstLine="8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5582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2CDB8341" wp14:editId="4E45B0F7">
            <wp:extent cx="3352800" cy="1118838"/>
            <wp:effectExtent l="0" t="0" r="0" b="5715"/>
            <wp:docPr id="1657875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7535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63252" cy="112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7E81B" w14:textId="39E23CA3" w:rsidR="0014056D" w:rsidRPr="00435582" w:rsidRDefault="0014056D" w:rsidP="00435582">
      <w:pPr>
        <w:spacing w:line="276" w:lineRule="auto"/>
        <w:ind w:firstLine="81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tabel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5,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menunjukkan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pengujian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reliabilitas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konstruk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Composite Reliability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Cronbach's Alpha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Seluruh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variabel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nilai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Composite Reliability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Cronbach's Alpha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0,70.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Variabel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Digital Payment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nilai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reliabilitas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tertinggi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Composite Reliability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sebesar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0,946 dan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Cronbach's Alpha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sebesar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0,925. Hasil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menunjukkan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seluruh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konstruk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tingkat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konsistensi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internal yang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mengukur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variabel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reliabel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36E072" w14:textId="56760DC9" w:rsidR="0014056D" w:rsidRPr="00435582" w:rsidRDefault="009B7001" w:rsidP="00435582">
      <w:pPr>
        <w:spacing w:line="276" w:lineRule="auto"/>
        <w:ind w:firstLine="81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Tabel. 6 </w:t>
      </w:r>
      <w:r w:rsidRPr="00435582">
        <w:rPr>
          <w:rFonts w:ascii="Times New Roman" w:hAnsi="Times New Roman" w:cs="Times New Roman"/>
          <w:sz w:val="24"/>
          <w:szCs w:val="24"/>
        </w:rPr>
        <w:t xml:space="preserve">Uji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R-Square</w:t>
      </w:r>
    </w:p>
    <w:p w14:paraId="0ECBEB3C" w14:textId="7A3E9060" w:rsidR="003A574F" w:rsidRPr="00435582" w:rsidRDefault="009B7001" w:rsidP="00435582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5582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D35A451" wp14:editId="3EC4D29E">
            <wp:extent cx="3043404" cy="717550"/>
            <wp:effectExtent l="0" t="0" r="5080" b="6350"/>
            <wp:docPr id="1230076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07649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75096" cy="72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0F178" w14:textId="06C780A1" w:rsidR="003A574F" w:rsidRPr="00435582" w:rsidRDefault="009B7001" w:rsidP="00435582">
      <w:pPr>
        <w:spacing w:line="276" w:lineRule="auto"/>
        <w:ind w:firstLine="81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tabel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6,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menunjukkan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pengujian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koefisien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determinasi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(R-Square)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Variabel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Niat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Beli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nilai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R-Square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sebesar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0,583. Hasil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menunjukkan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Digital Payment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Online Review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menjelaskan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variasi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Niat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Beli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sebesar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58,3%,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sedangkan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sisanya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sebesar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41,7%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dipengaruhi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oleh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variabel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lain di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luar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model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. Nilai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menunjukkan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model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kemampuan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penjelasan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tergolong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sedang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hingga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kuat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>.</w:t>
      </w:r>
      <w:r w:rsidRPr="00435582">
        <w:rPr>
          <w:rFonts w:ascii="Times New Roman" w:eastAsia="Calibri" w:hAnsi="Times New Roman" w:cs="Times New Roman"/>
          <w:sz w:val="24"/>
          <w:szCs w:val="24"/>
        </w:rPr>
        <w:tab/>
      </w:r>
      <w:r w:rsidRPr="00435582">
        <w:rPr>
          <w:rFonts w:ascii="Times New Roman" w:eastAsia="Calibri" w:hAnsi="Times New Roman" w:cs="Times New Roman"/>
          <w:sz w:val="24"/>
          <w:szCs w:val="24"/>
        </w:rPr>
        <w:tab/>
        <w:t xml:space="preserve">Tabel 7. Uji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Path Coefficient</w:t>
      </w:r>
    </w:p>
    <w:p w14:paraId="607DC02C" w14:textId="5DD847B2" w:rsidR="003A574F" w:rsidRPr="00435582" w:rsidRDefault="009B7001" w:rsidP="00435582">
      <w:pPr>
        <w:spacing w:line="276" w:lineRule="auto"/>
        <w:ind w:firstLine="8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5582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D435A92" wp14:editId="6A3E63A5">
            <wp:extent cx="4292600" cy="1217013"/>
            <wp:effectExtent l="0" t="0" r="0" b="2540"/>
            <wp:docPr id="405642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42027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17717" cy="1224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55119" w14:textId="22E8218D" w:rsidR="003A574F" w:rsidRPr="00435582" w:rsidRDefault="009B7001" w:rsidP="00435582">
      <w:pPr>
        <w:spacing w:line="276" w:lineRule="auto"/>
        <w:ind w:firstLine="81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tabel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7,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menunjukkan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Digital Payment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koefisien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jalur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sebesar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0,637 dan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Online Review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sebesar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0,417.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Kedua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variabel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berpengaruh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positif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Niat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Beli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, yang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berarti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semakin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digital payment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online review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semakin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tinggi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niat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beli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. Selain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Digital Payment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variabel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pengaruh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lebih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dominan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dibandingkan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Online Review</w:t>
      </w:r>
      <w:r w:rsidRPr="0043558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413212" w14:textId="1D5B4A0A" w:rsidR="003A574F" w:rsidRPr="00435582" w:rsidRDefault="009B7001" w:rsidP="00435582">
      <w:pPr>
        <w:spacing w:line="276" w:lineRule="auto"/>
        <w:ind w:firstLine="8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Tabel 8. Uji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Signifika</w:t>
      </w:r>
      <w:r w:rsidR="001D14A4" w:rsidRPr="00435582">
        <w:rPr>
          <w:rFonts w:ascii="Times New Roman" w:eastAsia="Calibri" w:hAnsi="Times New Roman" w:cs="Times New Roman"/>
          <w:sz w:val="24"/>
          <w:szCs w:val="24"/>
        </w:rPr>
        <w:t>n</w:t>
      </w:r>
      <w:r w:rsidRPr="00435582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</w:p>
    <w:p w14:paraId="37426B59" w14:textId="5E4660A2" w:rsidR="003A574F" w:rsidRPr="00435582" w:rsidRDefault="009B7001" w:rsidP="00435582">
      <w:pPr>
        <w:spacing w:line="276" w:lineRule="auto"/>
        <w:ind w:firstLine="8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5582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CF6142C" wp14:editId="496A7E63">
            <wp:extent cx="4654550" cy="945762"/>
            <wp:effectExtent l="0" t="0" r="0" b="6985"/>
            <wp:docPr id="20486159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1595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95119" cy="95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F7B6C" w14:textId="2D0CD433" w:rsidR="003A574F" w:rsidRPr="00435582" w:rsidRDefault="001D14A4" w:rsidP="00435582">
      <w:pPr>
        <w:spacing w:line="276" w:lineRule="auto"/>
        <w:ind w:firstLine="81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tabel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8,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menunjukkan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Digital Payment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t-statistic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= 12,565;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p-value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= 0,000) dan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Online Review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t-statistic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= 6,795;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p-value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= 0,000)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pengaruh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positif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signifikan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Niat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Beli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. Hal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ditunjukkan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oleh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nilai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t-statistic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lebih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besar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1,96 dan </w:t>
      </w:r>
      <w:r w:rsidRPr="00435582">
        <w:rPr>
          <w:rFonts w:ascii="Times New Roman" w:eastAsia="Calibri" w:hAnsi="Times New Roman" w:cs="Times New Roman"/>
          <w:i/>
          <w:iCs/>
          <w:sz w:val="24"/>
          <w:szCs w:val="24"/>
        </w:rPr>
        <w:t>p-value</w:t>
      </w:r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lebih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kecil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0,05,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sehingga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seluruh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hipotesis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Calibri" w:hAnsi="Times New Roman" w:cs="Times New Roman"/>
          <w:sz w:val="24"/>
          <w:szCs w:val="24"/>
        </w:rPr>
        <w:t>diterima</w:t>
      </w:r>
      <w:proofErr w:type="spellEnd"/>
      <w:r w:rsidRPr="0043558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193690" w14:textId="77777777" w:rsidR="003A574F" w:rsidRPr="00435582" w:rsidRDefault="003A574F" w:rsidP="00435582">
      <w:pPr>
        <w:spacing w:line="276" w:lineRule="auto"/>
        <w:ind w:firstLine="81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82AFD5D" w14:textId="3E32C2A3" w:rsidR="003A3EBE" w:rsidRPr="00435582" w:rsidRDefault="001D14A4" w:rsidP="00435582">
      <w:pPr>
        <w:pStyle w:val="Heading2"/>
        <w:numPr>
          <w:ilvl w:val="0"/>
          <w:numId w:val="0"/>
        </w:numPr>
        <w:spacing w:before="0" w:after="0" w:line="276" w:lineRule="auto"/>
        <w:rPr>
          <w:rFonts w:eastAsia="Calibri" w:cs="Times New Roman"/>
          <w:szCs w:val="24"/>
          <w:lang w:val="sv-SE"/>
        </w:rPr>
      </w:pPr>
      <w:r w:rsidRPr="00435582">
        <w:rPr>
          <w:rFonts w:eastAsia="Calibri" w:cs="Times New Roman"/>
          <w:szCs w:val="24"/>
          <w:lang w:val="sv-SE"/>
        </w:rPr>
        <w:t>PEMBAHASAN</w:t>
      </w:r>
    </w:p>
    <w:p w14:paraId="0FD5D5FA" w14:textId="77777777" w:rsidR="00435582" w:rsidRDefault="003A3EBE" w:rsidP="004355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hAnsi="Times New Roman" w:cs="Times New Roman"/>
          <w:sz w:val="24"/>
          <w:szCs w:val="24"/>
        </w:rPr>
        <w:tab/>
      </w:r>
      <w:r w:rsidR="001D14A4" w:rsidRPr="00435582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="001D14A4" w:rsidRPr="00435582">
        <w:rPr>
          <w:rFonts w:ascii="Times New Roman" w:hAnsi="Times New Roman" w:cs="Times New Roman"/>
          <w:i/>
          <w:iCs/>
          <w:sz w:val="24"/>
          <w:szCs w:val="24"/>
        </w:rPr>
        <w:t>Digital Payment</w:t>
      </w:r>
      <w:r w:rsidR="001D14A4" w:rsidRPr="00435582">
        <w:rPr>
          <w:rFonts w:ascii="Times New Roman" w:hAnsi="Times New Roman" w:cs="Times New Roman"/>
          <w:sz w:val="24"/>
          <w:szCs w:val="24"/>
        </w:rPr>
        <w:t xml:space="preserve"> dan </w:t>
      </w:r>
      <w:r w:rsidR="001D14A4" w:rsidRPr="00435582">
        <w:rPr>
          <w:rFonts w:ascii="Times New Roman" w:hAnsi="Times New Roman" w:cs="Times New Roman"/>
          <w:i/>
          <w:iCs/>
          <w:sz w:val="24"/>
          <w:szCs w:val="24"/>
        </w:rPr>
        <w:t>Online Review</w:t>
      </w:r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Beli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pada UMKM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Gedong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Roti di Kota Denpasar.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, </w:t>
      </w:r>
      <w:r w:rsidR="001D14A4" w:rsidRPr="00435582">
        <w:rPr>
          <w:rFonts w:ascii="Times New Roman" w:hAnsi="Times New Roman" w:cs="Times New Roman"/>
          <w:i/>
          <w:iCs/>
          <w:sz w:val="24"/>
          <w:szCs w:val="24"/>
        </w:rPr>
        <w:t>Digital Payment</w:t>
      </w:r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0,637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="001D14A4" w:rsidRPr="00435582">
        <w:rPr>
          <w:rFonts w:ascii="Times New Roman" w:hAnsi="Times New Roman" w:cs="Times New Roman"/>
          <w:i/>
          <w:iCs/>
          <w:sz w:val="24"/>
          <w:szCs w:val="24"/>
        </w:rPr>
        <w:t>t-statistic</w:t>
      </w:r>
      <w:r w:rsidR="001D14A4" w:rsidRPr="00435582">
        <w:rPr>
          <w:rFonts w:ascii="Times New Roman" w:hAnsi="Times New Roman" w:cs="Times New Roman"/>
          <w:sz w:val="24"/>
          <w:szCs w:val="24"/>
        </w:rPr>
        <w:t xml:space="preserve"> 12,565 dan </w:t>
      </w:r>
      <w:r w:rsidR="001D14A4" w:rsidRPr="00435582">
        <w:rPr>
          <w:rFonts w:ascii="Times New Roman" w:hAnsi="Times New Roman" w:cs="Times New Roman"/>
          <w:i/>
          <w:iCs/>
          <w:sz w:val="24"/>
          <w:szCs w:val="24"/>
        </w:rPr>
        <w:t>p-value</w:t>
      </w:r>
      <w:r w:rsidR="001D14A4" w:rsidRPr="00435582">
        <w:rPr>
          <w:rFonts w:ascii="Times New Roman" w:hAnsi="Times New Roman" w:cs="Times New Roman"/>
          <w:sz w:val="24"/>
          <w:szCs w:val="24"/>
        </w:rPr>
        <w:t xml:space="preserve"> 0,000,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="001D14A4" w:rsidRPr="00435582">
        <w:rPr>
          <w:rFonts w:ascii="Times New Roman" w:hAnsi="Times New Roman" w:cs="Times New Roman"/>
          <w:i/>
          <w:iCs/>
          <w:sz w:val="24"/>
          <w:szCs w:val="24"/>
        </w:rPr>
        <w:t>Online Review</w:t>
      </w:r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0,417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="001D14A4" w:rsidRPr="00435582">
        <w:rPr>
          <w:rFonts w:ascii="Times New Roman" w:hAnsi="Times New Roman" w:cs="Times New Roman"/>
          <w:i/>
          <w:iCs/>
          <w:sz w:val="24"/>
          <w:szCs w:val="24"/>
        </w:rPr>
        <w:t>t-statistic</w:t>
      </w:r>
      <w:r w:rsidR="001D14A4" w:rsidRPr="00435582">
        <w:rPr>
          <w:rFonts w:ascii="Times New Roman" w:hAnsi="Times New Roman" w:cs="Times New Roman"/>
          <w:sz w:val="24"/>
          <w:szCs w:val="24"/>
        </w:rPr>
        <w:t xml:space="preserve"> 6,795 dan </w:t>
      </w:r>
      <w:r w:rsidR="001D14A4" w:rsidRPr="00435582">
        <w:rPr>
          <w:rFonts w:ascii="Times New Roman" w:hAnsi="Times New Roman" w:cs="Times New Roman"/>
          <w:i/>
          <w:iCs/>
          <w:sz w:val="24"/>
          <w:szCs w:val="24"/>
        </w:rPr>
        <w:t>p-value</w:t>
      </w:r>
      <w:r w:rsidR="001D14A4" w:rsidRPr="00435582">
        <w:rPr>
          <w:rFonts w:ascii="Times New Roman" w:hAnsi="Times New Roman" w:cs="Times New Roman"/>
          <w:sz w:val="24"/>
          <w:szCs w:val="24"/>
        </w:rPr>
        <w:t xml:space="preserve"> 0,000. Hasil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="001D14A4" w:rsidRPr="00435582">
        <w:rPr>
          <w:rFonts w:ascii="Times New Roman" w:hAnsi="Times New Roman" w:cs="Times New Roman"/>
          <w:i/>
          <w:iCs/>
          <w:sz w:val="24"/>
          <w:szCs w:val="24"/>
        </w:rPr>
        <w:t>Digital Payment</w:t>
      </w:r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A4" w:rsidRPr="00435582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1D14A4"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="001D14A4" w:rsidRPr="00435582">
        <w:rPr>
          <w:rFonts w:ascii="Times New Roman" w:hAnsi="Times New Roman" w:cs="Times New Roman"/>
          <w:i/>
          <w:iCs/>
          <w:sz w:val="24"/>
          <w:szCs w:val="24"/>
        </w:rPr>
        <w:t>Online Review</w:t>
      </w:r>
      <w:r w:rsidR="001D14A4" w:rsidRPr="00435582">
        <w:rPr>
          <w:rFonts w:ascii="Times New Roman" w:hAnsi="Times New Roman" w:cs="Times New Roman"/>
          <w:sz w:val="24"/>
          <w:szCs w:val="24"/>
        </w:rPr>
        <w:t xml:space="preserve">. </w:t>
      </w:r>
      <w:r w:rsidR="001D14A4" w:rsidRPr="00435582">
        <w:rPr>
          <w:rFonts w:ascii="Times New Roman" w:hAnsi="Times New Roman" w:cs="Times New Roman"/>
          <w:sz w:val="24"/>
          <w:szCs w:val="24"/>
        </w:rPr>
        <w:tab/>
      </w:r>
      <w:r w:rsidR="001D14A4" w:rsidRPr="00435582">
        <w:rPr>
          <w:rFonts w:ascii="Times New Roman" w:hAnsi="Times New Roman" w:cs="Times New Roman"/>
          <w:sz w:val="24"/>
          <w:szCs w:val="24"/>
        </w:rPr>
        <w:tab/>
      </w:r>
      <w:r w:rsidR="001D14A4" w:rsidRPr="00435582">
        <w:rPr>
          <w:rFonts w:ascii="Times New Roman" w:hAnsi="Times New Roman" w:cs="Times New Roman"/>
          <w:sz w:val="24"/>
          <w:szCs w:val="24"/>
        </w:rPr>
        <w:tab/>
      </w:r>
      <w:r w:rsidR="001D14A4" w:rsidRPr="00435582">
        <w:rPr>
          <w:rFonts w:ascii="Times New Roman" w:hAnsi="Times New Roman" w:cs="Times New Roman"/>
          <w:sz w:val="24"/>
          <w:szCs w:val="24"/>
        </w:rPr>
        <w:tab/>
      </w:r>
      <w:r w:rsidR="001D14A4" w:rsidRPr="00435582">
        <w:rPr>
          <w:rFonts w:ascii="Times New Roman" w:hAnsi="Times New Roman" w:cs="Times New Roman"/>
          <w:sz w:val="24"/>
          <w:szCs w:val="24"/>
        </w:rPr>
        <w:tab/>
      </w:r>
      <w:r w:rsidR="001D14A4" w:rsidRPr="00435582">
        <w:rPr>
          <w:rFonts w:ascii="Times New Roman" w:hAnsi="Times New Roman" w:cs="Times New Roman"/>
          <w:sz w:val="24"/>
          <w:szCs w:val="24"/>
        </w:rPr>
        <w:tab/>
      </w:r>
      <w:r w:rsidR="001D14A4" w:rsidRPr="00435582">
        <w:rPr>
          <w:rFonts w:ascii="Times New Roman" w:hAnsi="Times New Roman" w:cs="Times New Roman"/>
          <w:sz w:val="24"/>
          <w:szCs w:val="24"/>
        </w:rPr>
        <w:tab/>
      </w:r>
      <w:r w:rsidR="001D14A4" w:rsidRPr="00435582">
        <w:rPr>
          <w:rFonts w:ascii="Times New Roman" w:hAnsi="Times New Roman" w:cs="Times New Roman"/>
          <w:sz w:val="24"/>
          <w:szCs w:val="24"/>
        </w:rPr>
        <w:tab/>
      </w:r>
      <w:r w:rsidR="001D14A4" w:rsidRPr="00435582">
        <w:rPr>
          <w:rFonts w:ascii="Times New Roman" w:hAnsi="Times New Roman" w:cs="Times New Roman"/>
          <w:sz w:val="24"/>
          <w:szCs w:val="24"/>
        </w:rPr>
        <w:tab/>
      </w:r>
      <w:r w:rsidR="001D14A4" w:rsidRPr="00435582">
        <w:rPr>
          <w:rFonts w:ascii="Times New Roman" w:hAnsi="Times New Roman" w:cs="Times New Roman"/>
          <w:sz w:val="24"/>
          <w:szCs w:val="24"/>
        </w:rPr>
        <w:tab/>
      </w:r>
    </w:p>
    <w:p w14:paraId="28873F34" w14:textId="77777777" w:rsidR="00435582" w:rsidRDefault="001D14A4" w:rsidP="00435582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Digital Payment</w:t>
      </w:r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Technology Acceptance Model (TAM)</w:t>
      </w:r>
      <w:r w:rsidRPr="004355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oleh Fred Davis, yang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Syifa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Aristawati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. (2025) yang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digital payment</w:t>
      </w:r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. </w:t>
      </w:r>
      <w:r w:rsidRPr="00435582">
        <w:rPr>
          <w:rFonts w:ascii="Times New Roman" w:hAnsi="Times New Roman" w:cs="Times New Roman"/>
          <w:sz w:val="24"/>
          <w:szCs w:val="24"/>
        </w:rPr>
        <w:tab/>
      </w:r>
      <w:r w:rsidRPr="00435582">
        <w:rPr>
          <w:rFonts w:ascii="Times New Roman" w:hAnsi="Times New Roman" w:cs="Times New Roman"/>
          <w:sz w:val="24"/>
          <w:szCs w:val="24"/>
        </w:rPr>
        <w:tab/>
      </w:r>
      <w:r w:rsidRPr="00435582">
        <w:rPr>
          <w:rFonts w:ascii="Times New Roman" w:hAnsi="Times New Roman" w:cs="Times New Roman"/>
          <w:sz w:val="24"/>
          <w:szCs w:val="24"/>
        </w:rPr>
        <w:tab/>
      </w:r>
    </w:p>
    <w:p w14:paraId="59135F45" w14:textId="197E9783" w:rsidR="001D14A4" w:rsidRPr="00435582" w:rsidRDefault="001D14A4" w:rsidP="00435582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582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,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Online Review</w:t>
      </w:r>
      <w:r w:rsidRPr="0043558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Beli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ulasan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Pr="004355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kredibel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informatif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Annisa dan Mirzam Arqy Ahmadi (2024) yang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online review</w:t>
      </w:r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electronic word of mouth (e-WOM)</w:t>
      </w:r>
      <w:r w:rsidRPr="004355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 xml:space="preserve">Theory of Planned </w:t>
      </w:r>
      <w:proofErr w:type="spellStart"/>
      <w:r w:rsidRPr="00435582">
        <w:rPr>
          <w:rFonts w:ascii="Times New Roman" w:hAnsi="Times New Roman" w:cs="Times New Roman"/>
          <w:i/>
          <w:iCs/>
          <w:sz w:val="24"/>
          <w:szCs w:val="24"/>
        </w:rPr>
        <w:t>Behavior</w:t>
      </w:r>
      <w:proofErr w:type="spellEnd"/>
      <w:r w:rsidRPr="00435582">
        <w:rPr>
          <w:rFonts w:ascii="Times New Roman" w:hAnsi="Times New Roman" w:cs="Times New Roman"/>
          <w:i/>
          <w:iCs/>
          <w:sz w:val="24"/>
          <w:szCs w:val="24"/>
        </w:rPr>
        <w:t xml:space="preserve"> (TPB)</w:t>
      </w:r>
      <w:r w:rsidRPr="004355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oleh Icek Ajzen,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subjective norms, yang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>.</w:t>
      </w:r>
      <w:r w:rsidRPr="00435582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,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Digital Payment</w:t>
      </w:r>
      <w:r w:rsidRPr="00435582">
        <w:rPr>
          <w:rFonts w:ascii="Times New Roman" w:hAnsi="Times New Roman" w:cs="Times New Roman"/>
          <w:sz w:val="24"/>
          <w:szCs w:val="24"/>
        </w:rPr>
        <w:t xml:space="preserve"> dan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Online Review</w:t>
      </w:r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58,3%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Beli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R-Square</w:t>
      </w:r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0,583. Hasil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pada UMKM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Gedong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Roti.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Beli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rata-rata 2,39.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mengindikasikan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Digital Payment</w:t>
      </w:r>
      <w:r w:rsidRPr="00435582">
        <w:rPr>
          <w:rFonts w:ascii="Times New Roman" w:hAnsi="Times New Roman" w:cs="Times New Roman"/>
          <w:sz w:val="24"/>
          <w:szCs w:val="24"/>
        </w:rPr>
        <w:t xml:space="preserve"> dan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Online Review</w:t>
      </w:r>
      <w:r w:rsidRPr="004355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lastRenderedPageBreak/>
        <w:t>produk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, UMKM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Gedong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Roti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digital dan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ulasan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>.</w:t>
      </w:r>
    </w:p>
    <w:p w14:paraId="75164B6A" w14:textId="33E95BD2" w:rsidR="003A3EBE" w:rsidRPr="00435582" w:rsidRDefault="001D14A4" w:rsidP="004355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435582">
        <w:rPr>
          <w:rFonts w:ascii="Times New Roman" w:hAnsi="Times New Roman" w:cs="Times New Roman"/>
          <w:b/>
          <w:bCs/>
          <w:sz w:val="24"/>
          <w:szCs w:val="24"/>
          <w:lang w:val="sv-SE"/>
        </w:rPr>
        <w:t>KESIMPULAN</w:t>
      </w:r>
    </w:p>
    <w:p w14:paraId="4298BCE4" w14:textId="77777777" w:rsidR="00435582" w:rsidRDefault="003A3EBE" w:rsidP="004355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hAnsi="Times New Roman" w:cs="Times New Roman"/>
          <w:sz w:val="24"/>
          <w:szCs w:val="24"/>
        </w:rPr>
        <w:tab/>
      </w:r>
      <w:bookmarkStart w:id="10" w:name="_Toc202184172"/>
      <w:bookmarkStart w:id="11" w:name="_Toc214721675"/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="00711D60" w:rsidRPr="00435582">
        <w:rPr>
          <w:rFonts w:ascii="Times New Roman" w:hAnsi="Times New Roman" w:cs="Times New Roman"/>
          <w:i/>
          <w:iCs/>
          <w:sz w:val="24"/>
          <w:szCs w:val="24"/>
        </w:rPr>
        <w:t>Digital Payment</w:t>
      </w:r>
      <w:r w:rsidR="00711D60" w:rsidRPr="00435582">
        <w:rPr>
          <w:rFonts w:ascii="Times New Roman" w:hAnsi="Times New Roman" w:cs="Times New Roman"/>
          <w:sz w:val="24"/>
          <w:szCs w:val="24"/>
        </w:rPr>
        <w:t xml:space="preserve"> dan </w:t>
      </w:r>
      <w:r w:rsidR="00711D60" w:rsidRPr="00435582">
        <w:rPr>
          <w:rFonts w:ascii="Times New Roman" w:hAnsi="Times New Roman" w:cs="Times New Roman"/>
          <w:i/>
          <w:iCs/>
          <w:sz w:val="24"/>
          <w:szCs w:val="24"/>
        </w:rPr>
        <w:t>Online Review</w:t>
      </w:r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Beli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pada UMKM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Gedong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Roti di Kota Denpasar,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="00711D60" w:rsidRPr="00435582">
        <w:rPr>
          <w:rFonts w:ascii="Times New Roman" w:hAnsi="Times New Roman" w:cs="Times New Roman"/>
          <w:i/>
          <w:iCs/>
          <w:sz w:val="24"/>
          <w:szCs w:val="24"/>
        </w:rPr>
        <w:t>Digital Payment</w:t>
      </w:r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Beli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0,637,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="00711D60" w:rsidRPr="00435582">
        <w:rPr>
          <w:rFonts w:ascii="Times New Roman" w:hAnsi="Times New Roman" w:cs="Times New Roman"/>
          <w:i/>
          <w:iCs/>
          <w:sz w:val="24"/>
          <w:szCs w:val="24"/>
        </w:rPr>
        <w:t>t-statistic</w:t>
      </w:r>
      <w:r w:rsidR="00711D60" w:rsidRPr="00435582">
        <w:rPr>
          <w:rFonts w:ascii="Times New Roman" w:hAnsi="Times New Roman" w:cs="Times New Roman"/>
          <w:sz w:val="24"/>
          <w:szCs w:val="24"/>
        </w:rPr>
        <w:t xml:space="preserve"> 12,565, dan </w:t>
      </w:r>
      <w:r w:rsidR="00711D60" w:rsidRPr="00435582">
        <w:rPr>
          <w:rFonts w:ascii="Times New Roman" w:hAnsi="Times New Roman" w:cs="Times New Roman"/>
          <w:i/>
          <w:iCs/>
          <w:sz w:val="24"/>
          <w:szCs w:val="24"/>
        </w:rPr>
        <w:t xml:space="preserve">p-value </w:t>
      </w:r>
      <w:r w:rsidR="00711D60" w:rsidRPr="00435582">
        <w:rPr>
          <w:rFonts w:ascii="Times New Roman" w:hAnsi="Times New Roman" w:cs="Times New Roman"/>
          <w:sz w:val="24"/>
          <w:szCs w:val="24"/>
        </w:rPr>
        <w:t xml:space="preserve">0,000,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. </w:t>
      </w:r>
      <w:r w:rsidR="00430753" w:rsidRPr="00435582">
        <w:rPr>
          <w:rFonts w:ascii="Times New Roman" w:hAnsi="Times New Roman" w:cs="Times New Roman"/>
          <w:sz w:val="24"/>
          <w:szCs w:val="24"/>
        </w:rPr>
        <w:tab/>
      </w:r>
      <w:r w:rsidR="00430753" w:rsidRPr="00435582">
        <w:rPr>
          <w:rFonts w:ascii="Times New Roman" w:hAnsi="Times New Roman" w:cs="Times New Roman"/>
          <w:sz w:val="24"/>
          <w:szCs w:val="24"/>
        </w:rPr>
        <w:tab/>
      </w:r>
      <w:r w:rsidR="00430753" w:rsidRPr="00435582">
        <w:rPr>
          <w:rFonts w:ascii="Times New Roman" w:hAnsi="Times New Roman" w:cs="Times New Roman"/>
          <w:sz w:val="24"/>
          <w:szCs w:val="24"/>
        </w:rPr>
        <w:tab/>
      </w:r>
      <w:r w:rsidR="00430753" w:rsidRPr="0043558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, </w:t>
      </w:r>
      <w:r w:rsidR="00711D60" w:rsidRPr="00435582">
        <w:rPr>
          <w:rFonts w:ascii="Times New Roman" w:hAnsi="Times New Roman" w:cs="Times New Roman"/>
          <w:i/>
          <w:iCs/>
          <w:sz w:val="24"/>
          <w:szCs w:val="24"/>
        </w:rPr>
        <w:t>Online Review</w:t>
      </w:r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Beli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0,417,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="00711D60" w:rsidRPr="00435582">
        <w:rPr>
          <w:rFonts w:ascii="Times New Roman" w:hAnsi="Times New Roman" w:cs="Times New Roman"/>
          <w:i/>
          <w:iCs/>
          <w:sz w:val="24"/>
          <w:szCs w:val="24"/>
        </w:rPr>
        <w:t>t-statistic</w:t>
      </w:r>
      <w:r w:rsidR="00711D60" w:rsidRPr="00435582">
        <w:rPr>
          <w:rFonts w:ascii="Times New Roman" w:hAnsi="Times New Roman" w:cs="Times New Roman"/>
          <w:sz w:val="24"/>
          <w:szCs w:val="24"/>
        </w:rPr>
        <w:t xml:space="preserve"> 6,795, dan </w:t>
      </w:r>
      <w:r w:rsidR="00711D60" w:rsidRPr="00435582">
        <w:rPr>
          <w:rFonts w:ascii="Times New Roman" w:hAnsi="Times New Roman" w:cs="Times New Roman"/>
          <w:i/>
          <w:iCs/>
          <w:sz w:val="24"/>
          <w:szCs w:val="24"/>
        </w:rPr>
        <w:t>p-value</w:t>
      </w:r>
      <w:r w:rsidR="00711D60" w:rsidRPr="00435582">
        <w:rPr>
          <w:rFonts w:ascii="Times New Roman" w:hAnsi="Times New Roman" w:cs="Times New Roman"/>
          <w:sz w:val="24"/>
          <w:szCs w:val="24"/>
        </w:rPr>
        <w:t xml:space="preserve"> 0,000,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ulasan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online yang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kredibel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informatif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UMKM </w:t>
      </w:r>
      <w:proofErr w:type="spellStart"/>
      <w:r w:rsidR="00711D60" w:rsidRPr="00435582">
        <w:rPr>
          <w:rFonts w:ascii="Times New Roman" w:hAnsi="Times New Roman" w:cs="Times New Roman"/>
          <w:sz w:val="24"/>
          <w:szCs w:val="24"/>
        </w:rPr>
        <w:t>Gedong</w:t>
      </w:r>
      <w:proofErr w:type="spellEnd"/>
      <w:r w:rsidR="00711D60" w:rsidRPr="00435582">
        <w:rPr>
          <w:rFonts w:ascii="Times New Roman" w:hAnsi="Times New Roman" w:cs="Times New Roman"/>
          <w:sz w:val="24"/>
          <w:szCs w:val="24"/>
        </w:rPr>
        <w:t xml:space="preserve"> Roti. </w:t>
      </w:r>
      <w:r w:rsidR="00430753" w:rsidRPr="00435582">
        <w:rPr>
          <w:rFonts w:ascii="Times New Roman" w:hAnsi="Times New Roman" w:cs="Times New Roman"/>
          <w:sz w:val="24"/>
          <w:szCs w:val="24"/>
        </w:rPr>
        <w:tab/>
      </w:r>
    </w:p>
    <w:p w14:paraId="74405660" w14:textId="2BB46523" w:rsidR="00BC285A" w:rsidRPr="00435582" w:rsidRDefault="00711D60" w:rsidP="00435582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,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Digital Payment</w:t>
      </w:r>
      <w:r w:rsidRPr="00435582">
        <w:rPr>
          <w:rFonts w:ascii="Times New Roman" w:hAnsi="Times New Roman" w:cs="Times New Roman"/>
          <w:sz w:val="24"/>
          <w:szCs w:val="24"/>
        </w:rPr>
        <w:t xml:space="preserve"> dan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Online Review</w:t>
      </w:r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Beli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58,3%, yang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r w:rsidRPr="00435582">
        <w:rPr>
          <w:rFonts w:ascii="Times New Roman" w:hAnsi="Times New Roman" w:cs="Times New Roman"/>
          <w:i/>
          <w:iCs/>
          <w:sz w:val="24"/>
          <w:szCs w:val="24"/>
        </w:rPr>
        <w:t>R-Square</w:t>
      </w:r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0,583. Hasil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, UMKM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Gedong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Roti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ulasan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guna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8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35582">
        <w:rPr>
          <w:rFonts w:ascii="Times New Roman" w:hAnsi="Times New Roman" w:cs="Times New Roman"/>
          <w:sz w:val="24"/>
          <w:szCs w:val="24"/>
        </w:rPr>
        <w:t>.</w:t>
      </w:r>
    </w:p>
    <w:p w14:paraId="0779692A" w14:textId="77777777" w:rsidR="00711D60" w:rsidRDefault="00711D60" w:rsidP="004355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1F75C" w14:textId="32CF7C18" w:rsidR="00435582" w:rsidRPr="00435582" w:rsidRDefault="00435582" w:rsidP="004355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  <w:sectPr w:rsidR="00435582" w:rsidRPr="00435582" w:rsidSect="00435582">
          <w:headerReference w:type="first" r:id="rId22"/>
          <w:type w:val="continuous"/>
          <w:pgSz w:w="11906" w:h="16838" w:code="9"/>
          <w:pgMar w:top="1699" w:right="749" w:bottom="1411" w:left="850" w:header="709" w:footer="709" w:gutter="0"/>
          <w:cols w:space="708"/>
          <w:titlePg/>
          <w:docGrid w:linePitch="360"/>
        </w:sectPr>
      </w:pPr>
    </w:p>
    <w:p w14:paraId="27FFEEC2" w14:textId="14C67B82" w:rsidR="006A0B5D" w:rsidRPr="00435582" w:rsidRDefault="006A0B5D" w:rsidP="00435582">
      <w:pPr>
        <w:pStyle w:val="Heading1"/>
        <w:spacing w:line="276" w:lineRule="auto"/>
        <w:jc w:val="left"/>
        <w:rPr>
          <w:rFonts w:cs="Times New Roman"/>
          <w:szCs w:val="24"/>
          <w:lang w:val="sv-SE"/>
        </w:rPr>
      </w:pPr>
      <w:bookmarkStart w:id="12" w:name="_Toc217842623"/>
      <w:r w:rsidRPr="00435582">
        <w:rPr>
          <w:rFonts w:cs="Times New Roman"/>
          <w:szCs w:val="24"/>
          <w:lang w:val="sv-SE"/>
        </w:rPr>
        <w:t>DAFTAR PUSTAKA</w:t>
      </w:r>
      <w:bookmarkEnd w:id="10"/>
      <w:bookmarkEnd w:id="11"/>
      <w:bookmarkEnd w:id="12"/>
    </w:p>
    <w:p w14:paraId="148AC5F8" w14:textId="77777777" w:rsidR="00430753" w:rsidRPr="00435582" w:rsidRDefault="00430753" w:rsidP="00435582">
      <w:pPr>
        <w:autoSpaceDE w:val="0"/>
        <w:autoSpaceDN w:val="0"/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Ananda, P. D. V., Yasa, N. N. K.,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Ekawati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N. W., &amp; Warmika, I. G. K. (2023). Online Customer Review, Online Customer Rating, and Payment Guarantee Influence on Purchase Intention. </w:t>
      </w:r>
      <w:proofErr w:type="spellStart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Ekonomi &amp; </w:t>
      </w:r>
      <w:proofErr w:type="spellStart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Bisnis</w:t>
      </w:r>
      <w:proofErr w:type="spellEnd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JAGADITHA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(2), 125–133. https://doi.org/10.22225/jj.10.2.2023.125-133</w:t>
      </w:r>
    </w:p>
    <w:p w14:paraId="2AD98580" w14:textId="77777777" w:rsidR="00430753" w:rsidRPr="00435582" w:rsidRDefault="00430753" w:rsidP="00435582">
      <w:pPr>
        <w:autoSpaceDE w:val="0"/>
        <w:autoSpaceDN w:val="0"/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Anita Kumari, &amp; Pooja Thakur. (2025). Examining the Factors Influencing Online Purchase Intention: A Digital Marketing Perspective.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International Journal of Scientific Research in Science and Technology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(2), 1291–1303. https://doi.org/10.32628/ijsrst251222656</w:t>
      </w:r>
    </w:p>
    <w:p w14:paraId="75E34122" w14:textId="77777777" w:rsidR="00430753" w:rsidRPr="00435582" w:rsidRDefault="00430753" w:rsidP="00435582">
      <w:pPr>
        <w:autoSpaceDE w:val="0"/>
        <w:autoSpaceDN w:val="0"/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Annisa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Annisa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&amp;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Mirzam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Arqy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Ahmadi. (2024).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E-WOM dan Trust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Purchase Intention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Belanja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Online. </w:t>
      </w:r>
      <w:proofErr w:type="spellStart"/>
      <w:proofErr w:type="gramStart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Lokawati</w:t>
      </w:r>
      <w:proofErr w:type="spellEnd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 :</w:t>
      </w:r>
      <w:proofErr w:type="gramEnd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Penelitian</w:t>
      </w:r>
      <w:proofErr w:type="spellEnd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Manajemen</w:t>
      </w:r>
      <w:proofErr w:type="spellEnd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dan </w:t>
      </w:r>
      <w:proofErr w:type="spellStart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Inovasi</w:t>
      </w:r>
      <w:proofErr w:type="spellEnd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Riset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(1), 225–233. https://doi.org/10.61132/lokawati.v3i1.1488</w:t>
      </w:r>
    </w:p>
    <w:p w14:paraId="2A46BA0D" w14:textId="77777777" w:rsidR="00430753" w:rsidRPr="00435582" w:rsidRDefault="00430753" w:rsidP="00435582">
      <w:pPr>
        <w:autoSpaceDE w:val="0"/>
        <w:autoSpaceDN w:val="0"/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Auliya, A. N., &amp; Devi, R. P. (2025). PENGARUH LITERASI KEUANGAN DAN PENGGUNAAN FINANSIAL TEKNOLOGI TERHADAP PENGELOLAAN KEUANGAN INDIVIDU SISWA SMK CENDIKIA PASEH.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Information System, Applied, Management, Accounting and Research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(2), 829. https://doi.org/10.52362/jisamar.v9i2.1878</w:t>
      </w:r>
    </w:p>
    <w:p w14:paraId="765C5292" w14:textId="77777777" w:rsidR="00430753" w:rsidRPr="00435582" w:rsidRDefault="00430753" w:rsidP="00435582">
      <w:pPr>
        <w:autoSpaceDE w:val="0"/>
        <w:autoSpaceDN w:val="0"/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Bagas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Prasetia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Saputra, &amp; M.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Bahrul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Ulum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(2024).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Perlindungan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Hukum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Me-Review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Media Sosial. </w:t>
      </w:r>
      <w:proofErr w:type="spellStart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Deposisi</w:t>
      </w:r>
      <w:proofErr w:type="spellEnd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Publikasi</w:t>
      </w:r>
      <w:proofErr w:type="spellEnd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Ilmu</w:t>
      </w:r>
      <w:proofErr w:type="spellEnd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Hukum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(3), 391–398. https://doi.org/10.59581/deposisi.v2i3.4003</w:t>
      </w:r>
    </w:p>
    <w:p w14:paraId="4ED8A0AD" w14:textId="77777777" w:rsidR="00430753" w:rsidRPr="00435582" w:rsidRDefault="00430753" w:rsidP="00435582">
      <w:pPr>
        <w:autoSpaceDE w:val="0"/>
        <w:autoSpaceDN w:val="0"/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Della Puspita, A. (2024).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Media Sosial, Online Costumer Review dan Digital Payment </w:t>
      </w:r>
      <w:proofErr w:type="spellStart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terhadap</w:t>
      </w:r>
      <w:proofErr w:type="spellEnd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Minat Beli </w:t>
      </w:r>
      <w:proofErr w:type="spellStart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Pengguna</w:t>
      </w:r>
      <w:proofErr w:type="spellEnd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Marketplace </w:t>
      </w:r>
      <w:proofErr w:type="spellStart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Tiktok</w:t>
      </w:r>
      <w:proofErr w:type="spellEnd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di Surakarta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, 55.</w:t>
      </w:r>
    </w:p>
    <w:p w14:paraId="6798ED94" w14:textId="77777777" w:rsidR="00430753" w:rsidRPr="00435582" w:rsidRDefault="00430753" w:rsidP="00435582">
      <w:pPr>
        <w:autoSpaceDE w:val="0"/>
        <w:autoSpaceDN w:val="0"/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Durman, T. Y., &amp;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Musdholifah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(2020). INTEGRASI TECHNOLOGY ACCEPTANCE MODEL DAN THEORY OF PLANNED BEHAVIOR TERHADAP INTENTION TO USE MOBILE PAYMENT (STUDI PADA PENGGUNA OVO DI SURABAYA).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Ilmu</w:t>
      </w:r>
      <w:proofErr w:type="spellEnd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Manajemen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(Vol. 8).</w:t>
      </w:r>
    </w:p>
    <w:p w14:paraId="70DF33B5" w14:textId="77777777" w:rsidR="00430753" w:rsidRPr="00435582" w:rsidRDefault="00430753" w:rsidP="00435582">
      <w:pPr>
        <w:autoSpaceDE w:val="0"/>
        <w:autoSpaceDN w:val="0"/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Dwi Rusti, A., &amp;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Masnita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Y. (2024).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Tinjauan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Theory of Planned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Behavior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Mempengaruhi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Purchase Intention dan Purchase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Behavior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Social Media</w:t>
      </w:r>
      <w:proofErr w:type="gram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Ekonomi Efektif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(1). https://doi.org/10.32493/JEE.v7i1.42567</w:t>
      </w:r>
    </w:p>
    <w:p w14:paraId="3DCFAB01" w14:textId="77777777" w:rsidR="00430753" w:rsidRPr="00435582" w:rsidRDefault="00430753" w:rsidP="00435582">
      <w:pPr>
        <w:autoSpaceDE w:val="0"/>
        <w:autoSpaceDN w:val="0"/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Hassan, M. M., Ahmad, N., &amp; Hashim, A. H. (2021). The Conceptual Framework of Housing Purchase Decision-Making Process.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International Journal of Academic Research in Business and Social Sciences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(11). https://doi.org/10.6007/ijarbss/v11-i11/11653</w:t>
      </w:r>
    </w:p>
    <w:p w14:paraId="62E00FC4" w14:textId="77777777" w:rsidR="00430753" w:rsidRPr="00435582" w:rsidRDefault="00430753" w:rsidP="00435582">
      <w:pPr>
        <w:autoSpaceDE w:val="0"/>
        <w:autoSpaceDN w:val="0"/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Jufrizen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J.,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Daulay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R., Sari, M., &amp; Nasution, M. I. (2020). MODEL EMPIRIS PENINGKATAN KEPUASAN DAN NIAT BELI KONSUMEN DALAM PEMILIHAN ONLINE SHOP INSTAGRAM.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MIX: JURNAL ILMIAH MANAJEMEN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(2), 249. https://doi.org/10.22441/mix.2020.v10i2.008</w:t>
      </w:r>
    </w:p>
    <w:p w14:paraId="48C9BA34" w14:textId="77777777" w:rsidR="00430753" w:rsidRPr="00435582" w:rsidRDefault="00430753" w:rsidP="00435582">
      <w:pPr>
        <w:autoSpaceDE w:val="0"/>
        <w:autoSpaceDN w:val="0"/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Meyta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Taufik, H., &amp; Rifky Pratama, A. (2023).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Electronic Word </w:t>
      </w:r>
      <w:proofErr w:type="gram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Mouth dan Digital Payment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Purchase Intention pada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E-Commerce. </w:t>
      </w:r>
      <w:proofErr w:type="spellStart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Ilmiah</w:t>
      </w:r>
      <w:proofErr w:type="spellEnd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Akuntansi dan </w:t>
      </w:r>
      <w:proofErr w:type="spellStart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Keuangan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(7), 2023. https://journal.ikopin.ac.id/index.php/fairvalue</w:t>
      </w:r>
    </w:p>
    <w:p w14:paraId="7DF93B39" w14:textId="77777777" w:rsidR="00430753" w:rsidRPr="00435582" w:rsidRDefault="00430753" w:rsidP="00435582">
      <w:pPr>
        <w:autoSpaceDE w:val="0"/>
        <w:autoSpaceDN w:val="0"/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Nordin, N. M., Talib, N. A. C., Hasbullah, N. N., Harun, H.,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Mastor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&amp;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Ramly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F. (2023). Understanding Customer Intention to Use E-Payment for Online Shopping.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Information Management and Business Review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. https://doi.org/10.22610/imbr.v15i3(i).3544</w:t>
      </w:r>
    </w:p>
    <w:p w14:paraId="5D61EDD8" w14:textId="77777777" w:rsidR="00430753" w:rsidRPr="00435582" w:rsidRDefault="00430753" w:rsidP="00435582">
      <w:pPr>
        <w:autoSpaceDE w:val="0"/>
        <w:autoSpaceDN w:val="0"/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Petrikova, T., &amp;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Kocisova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 (2024). Digital payments as an indicator of financial inclusion in Euro Area countries.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 a M: </w:t>
      </w:r>
      <w:proofErr w:type="spellStart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Ekonomie</w:t>
      </w:r>
      <w:proofErr w:type="spellEnd"/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 Management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27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(2), 162–182. https://doi.org/10.15240/tul/001/2024-5-004</w:t>
      </w:r>
    </w:p>
    <w:p w14:paraId="10EE664A" w14:textId="77777777" w:rsidR="00430753" w:rsidRPr="00435582" w:rsidRDefault="00430753" w:rsidP="00435582">
      <w:pPr>
        <w:autoSpaceDE w:val="0"/>
        <w:autoSpaceDN w:val="0"/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Putu, I. A., Savitri, D., &amp; Wardana, I. M. (2018).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PENGARUH CITRA MEREK, KUALITAS PRODUK DAN PERSEPSI HARGA TERHADAP KEPUASAN DAN NIAT BELI ULANG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(10), 5748–5782. https://doi.org/10.24843/EJMUNUD.2018.v7.i10.p19</w:t>
      </w:r>
    </w:p>
    <w:p w14:paraId="24D6F129" w14:textId="77777777" w:rsidR="00430753" w:rsidRPr="00435582" w:rsidRDefault="00430753" w:rsidP="00435582">
      <w:pPr>
        <w:autoSpaceDE w:val="0"/>
        <w:autoSpaceDN w:val="0"/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P.V, R., Kulkarni, S., &amp; J Varma Aparna. (2021). A Literature Study </w:t>
      </w:r>
      <w:proofErr w:type="gram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Consumer Perception Towards Digital Payment Mode </w:t>
      </w:r>
      <w:proofErr w:type="gram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gram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India.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Psychology and Education Journal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. https://doi.org/10.17762/pae.v58i1.1270</w:t>
      </w:r>
    </w:p>
    <w:p w14:paraId="64EE8849" w14:textId="77777777" w:rsidR="00430753" w:rsidRPr="00435582" w:rsidRDefault="00430753" w:rsidP="00435582">
      <w:pPr>
        <w:autoSpaceDE w:val="0"/>
        <w:autoSpaceDN w:val="0"/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Syifa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Aristawati, K.,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Safrizal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Dwi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Prayoga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M.,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Aristawati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Nely Agustin, P., Dwi Agustin, F., &amp;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Asitah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N. (2025). Artikel Nusantara Entrepreneurship and Management Review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Transformasi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Digital di Era Ekonomi Digital: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Efisiensi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Dampaknya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UMKM.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NEMR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(Vol. 3,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Nomor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1). https://journal.unusida.ac.id/index.php/nemr/</w:t>
      </w:r>
    </w:p>
    <w:p w14:paraId="2DEF42EB" w14:textId="77777777" w:rsidR="00430753" w:rsidRPr="00435582" w:rsidRDefault="00430753" w:rsidP="00435582">
      <w:pPr>
        <w:autoSpaceDE w:val="0"/>
        <w:autoSpaceDN w:val="0"/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Wahyu Syarafi, M., &amp; Edy </w:t>
      </w:r>
      <w:proofErr w:type="spellStart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Handoyo</w:t>
      </w:r>
      <w:proofErr w:type="spellEnd"/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 (2024). </w:t>
      </w:r>
      <w:r w:rsidRPr="0043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JMBK_MUHAMMAD_SARWO_418-430</w:t>
      </w:r>
      <w:r w:rsidRPr="004355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27F085" w14:textId="7E5A109D" w:rsidR="006F2120" w:rsidRPr="00435582" w:rsidRDefault="006F2120" w:rsidP="00435582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sectPr w:rsidR="006F2120" w:rsidRPr="00435582" w:rsidSect="00435582">
      <w:type w:val="continuous"/>
      <w:pgSz w:w="11906" w:h="16838" w:code="9"/>
      <w:pgMar w:top="1699" w:right="749" w:bottom="1411" w:left="8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99AD" w14:textId="77777777" w:rsidR="00D95372" w:rsidRDefault="00D95372">
      <w:pPr>
        <w:spacing w:after="0" w:line="240" w:lineRule="auto"/>
      </w:pPr>
      <w:r>
        <w:separator/>
      </w:r>
    </w:p>
  </w:endnote>
  <w:endnote w:type="continuationSeparator" w:id="0">
    <w:p w14:paraId="4FA36E30" w14:textId="77777777" w:rsidR="00D95372" w:rsidRDefault="00D9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6" w:type="pct"/>
      <w:tblInd w:w="-18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6"/>
      <w:gridCol w:w="1450"/>
    </w:tblGrid>
    <w:tr w:rsidR="00435582" w:rsidRPr="00E25EDE" w14:paraId="6FD3DF80" w14:textId="77777777" w:rsidTr="00D3199F">
      <w:trPr>
        <w:trHeight w:val="327"/>
      </w:trPr>
      <w:tc>
        <w:tcPr>
          <w:tcW w:w="4311" w:type="pct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7CA526DB" w14:textId="36FA5E08" w:rsidR="00435582" w:rsidRPr="00E25EDE" w:rsidRDefault="00435582" w:rsidP="00435582">
          <w:pPr>
            <w:pStyle w:val="Footer"/>
            <w:jc w:val="left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BERAJAH</w:t>
          </w:r>
          <w:r w:rsidRPr="00E25EDE">
            <w:rPr>
              <w:b/>
              <w:bCs/>
              <w:sz w:val="20"/>
              <w:szCs w:val="20"/>
            </w:rPr>
            <w:t xml:space="preserve"> JOURNAL | VOLUME </w:t>
          </w:r>
          <w:r>
            <w:rPr>
              <w:b/>
              <w:bCs/>
              <w:sz w:val="20"/>
              <w:szCs w:val="20"/>
            </w:rPr>
            <w:t>6</w:t>
          </w:r>
          <w:r w:rsidRPr="00E25EDE">
            <w:rPr>
              <w:b/>
              <w:bCs/>
              <w:sz w:val="20"/>
              <w:szCs w:val="20"/>
            </w:rPr>
            <w:t xml:space="preserve"> NO.</w:t>
          </w:r>
          <w:r>
            <w:rPr>
              <w:b/>
              <w:bCs/>
              <w:sz w:val="20"/>
              <w:szCs w:val="20"/>
            </w:rPr>
            <w:t>3</w:t>
          </w:r>
          <w:r w:rsidRPr="00E25EDE">
            <w:rPr>
              <w:b/>
              <w:bCs/>
              <w:sz w:val="20"/>
              <w:szCs w:val="20"/>
            </w:rPr>
            <w:t xml:space="preserve"> (</w:t>
          </w:r>
          <w:r>
            <w:rPr>
              <w:b/>
              <w:bCs/>
              <w:sz w:val="20"/>
              <w:szCs w:val="20"/>
            </w:rPr>
            <w:t>2026</w:t>
          </w:r>
          <w:r w:rsidRPr="00E25EDE">
            <w:rPr>
              <w:b/>
              <w:bCs/>
              <w:sz w:val="20"/>
              <w:szCs w:val="20"/>
            </w:rPr>
            <w:t>)</w:t>
          </w:r>
        </w:p>
        <w:p w14:paraId="66D09A84" w14:textId="77777777" w:rsidR="00435582" w:rsidRPr="00E25EDE" w:rsidRDefault="00435582" w:rsidP="00435582">
          <w:pPr>
            <w:pStyle w:val="Footer"/>
            <w:rPr>
              <w:color w:val="0563C1"/>
              <w:sz w:val="20"/>
              <w:szCs w:val="20"/>
              <w:u w:val="single"/>
            </w:rPr>
          </w:pPr>
          <w:hyperlink r:id="rId1" w:history="1">
            <w:r w:rsidRPr="00AD04DC">
              <w:rPr>
                <w:rStyle w:val="Hyperlink"/>
                <w:sz w:val="20"/>
                <w:szCs w:val="20"/>
              </w:rPr>
              <w:t>https://ojs.berajah.com/index.php/go/</w:t>
            </w:r>
          </w:hyperlink>
          <w:r>
            <w:rPr>
              <w:sz w:val="20"/>
              <w:szCs w:val="20"/>
            </w:rPr>
            <w:t xml:space="preserve"> </w:t>
          </w:r>
          <w:r w:rsidRPr="00E25EDE">
            <w:t xml:space="preserve"> </w:t>
          </w:r>
        </w:p>
      </w:tc>
      <w:tc>
        <w:tcPr>
          <w:tcW w:w="689" w:type="pct"/>
          <w:tcBorders>
            <w:top w:val="single" w:sz="4" w:space="0" w:color="C0504D"/>
            <w:left w:val="nil"/>
            <w:bottom w:val="nil"/>
            <w:right w:val="nil"/>
          </w:tcBorders>
          <w:shd w:val="clear" w:color="auto" w:fill="C00000"/>
          <w:vAlign w:val="center"/>
          <w:hideMark/>
        </w:tcPr>
        <w:p w14:paraId="6BC496A3" w14:textId="77777777" w:rsidR="00435582" w:rsidRPr="00E25EDE" w:rsidRDefault="00435582" w:rsidP="00435582">
          <w:pPr>
            <w:pStyle w:val="Header"/>
            <w:rPr>
              <w:b/>
              <w:bCs/>
              <w:color w:val="FFFFFF"/>
              <w:szCs w:val="24"/>
            </w:rPr>
          </w:pPr>
          <w:r w:rsidRPr="00E25EDE">
            <w:rPr>
              <w:b/>
              <w:bCs/>
              <w:szCs w:val="24"/>
            </w:rPr>
            <w:fldChar w:fldCharType="begin"/>
          </w:r>
          <w:r w:rsidRPr="00E25EDE">
            <w:rPr>
              <w:b/>
              <w:bCs/>
              <w:szCs w:val="24"/>
            </w:rPr>
            <w:instrText xml:space="preserve"> PAGE   \* MERGEFORMAT </w:instrText>
          </w:r>
          <w:r w:rsidRPr="00E25EDE">
            <w:rPr>
              <w:b/>
              <w:bCs/>
              <w:szCs w:val="24"/>
            </w:rPr>
            <w:fldChar w:fldCharType="separate"/>
          </w:r>
          <w:r w:rsidRPr="00E25EDE">
            <w:rPr>
              <w:b/>
              <w:bCs/>
              <w:szCs w:val="24"/>
            </w:rPr>
            <w:t>1</w:t>
          </w:r>
          <w:r w:rsidRPr="00E25EDE">
            <w:rPr>
              <w:b/>
              <w:bCs/>
              <w:noProof/>
              <w:szCs w:val="24"/>
            </w:rPr>
            <w:fldChar w:fldCharType="end"/>
          </w:r>
        </w:p>
      </w:tc>
    </w:tr>
  </w:tbl>
  <w:p w14:paraId="0D07BB32" w14:textId="77777777" w:rsidR="00435582" w:rsidRDefault="004355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5CE3" w14:textId="267610A2" w:rsidR="00E62636" w:rsidRDefault="00E62636">
    <w:pPr>
      <w:pStyle w:val="Footer"/>
      <w:jc w:val="right"/>
    </w:pPr>
  </w:p>
  <w:p w14:paraId="42862810" w14:textId="77777777" w:rsidR="00E62636" w:rsidRDefault="00E62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F88A" w14:textId="77777777" w:rsidR="00D95372" w:rsidRDefault="00D95372">
      <w:pPr>
        <w:spacing w:after="0" w:line="240" w:lineRule="auto"/>
      </w:pPr>
      <w:r>
        <w:separator/>
      </w:r>
    </w:p>
  </w:footnote>
  <w:footnote w:type="continuationSeparator" w:id="0">
    <w:p w14:paraId="6C35A9FC" w14:textId="77777777" w:rsidR="00D95372" w:rsidRDefault="00D9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80"/>
      <w:gridCol w:w="2160"/>
    </w:tblGrid>
    <w:tr w:rsidR="00435582" w14:paraId="6C7AE3D4" w14:textId="77777777" w:rsidTr="00D3199F">
      <w:tc>
        <w:tcPr>
          <w:tcW w:w="7380" w:type="dxa"/>
        </w:tcPr>
        <w:p w14:paraId="3458B35F" w14:textId="77777777" w:rsidR="00435582" w:rsidRPr="00435582" w:rsidRDefault="00435582" w:rsidP="00435582">
          <w:pPr>
            <w:pStyle w:val="Header"/>
            <w:jc w:val="left"/>
            <w:rPr>
              <w:b/>
              <w:bCs/>
              <w:sz w:val="20"/>
              <w:lang w:val="en-ID"/>
            </w:rPr>
          </w:pPr>
          <w:r w:rsidRPr="00435582">
            <w:rPr>
              <w:b/>
              <w:bCs/>
              <w:sz w:val="20"/>
              <w:lang w:val="en-ID"/>
            </w:rPr>
            <w:t>PENGARUH DIGITAL PAYMENT DAN ONLINE REVIEW TERHADAP NIAT BELI KONSUMEN PADA UMKM GEDONG ROTI DI DENPASAR</w:t>
          </w:r>
        </w:p>
        <w:p w14:paraId="53836A9C" w14:textId="3253CFAD" w:rsidR="00435582" w:rsidRPr="00435582" w:rsidRDefault="00435582" w:rsidP="00435582">
          <w:pPr>
            <w:pStyle w:val="Header"/>
            <w:jc w:val="left"/>
            <w:rPr>
              <w:sz w:val="20"/>
              <w:szCs w:val="20"/>
            </w:rPr>
          </w:pPr>
          <w:r w:rsidRPr="00435582">
            <w:rPr>
              <w:sz w:val="20"/>
              <w:szCs w:val="20"/>
              <w:lang w:val="en-US"/>
            </w:rPr>
            <w:t>Mulia Putra Muliana</w:t>
          </w:r>
          <w:r w:rsidRPr="00435582">
            <w:rPr>
              <w:sz w:val="20"/>
              <w:szCs w:val="20"/>
              <w:vertAlign w:val="superscript"/>
              <w:lang w:val="en-US"/>
            </w:rPr>
            <w:t xml:space="preserve">1 </w:t>
          </w:r>
          <w:r w:rsidRPr="00435582">
            <w:rPr>
              <w:sz w:val="20"/>
              <w:szCs w:val="20"/>
            </w:rPr>
            <w:t>et al</w:t>
          </w:r>
        </w:p>
        <w:p w14:paraId="739DD05D" w14:textId="77777777" w:rsidR="00435582" w:rsidRPr="001460B8" w:rsidRDefault="00435582" w:rsidP="00435582">
          <w:pPr>
            <w:pStyle w:val="Header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DOI: </w:t>
          </w:r>
          <w:r w:rsidRPr="00615DEE">
            <w:rPr>
              <w:sz w:val="20"/>
              <w:szCs w:val="20"/>
            </w:rPr>
            <w:t>https://doi.org/10.47353/bj.v</w:t>
          </w:r>
          <w:r>
            <w:rPr>
              <w:sz w:val="20"/>
              <w:szCs w:val="20"/>
            </w:rPr>
            <w:t>6</w:t>
          </w:r>
          <w:r w:rsidRPr="00615DEE">
            <w:rPr>
              <w:sz w:val="20"/>
              <w:szCs w:val="20"/>
            </w:rPr>
            <w:t>i1.53</w:t>
          </w:r>
          <w:r>
            <w:rPr>
              <w:sz w:val="20"/>
              <w:szCs w:val="20"/>
            </w:rPr>
            <w:t xml:space="preserve">        </w:t>
          </w:r>
        </w:p>
      </w:tc>
      <w:tc>
        <w:tcPr>
          <w:tcW w:w="2160" w:type="dxa"/>
        </w:tcPr>
        <w:p w14:paraId="084F7CFE" w14:textId="77777777" w:rsidR="00435582" w:rsidRPr="001460B8" w:rsidRDefault="00435582" w:rsidP="00435582">
          <w:pPr>
            <w:pStyle w:val="Header"/>
            <w:jc w:val="right"/>
            <w:rPr>
              <w:sz w:val="20"/>
              <w:szCs w:val="20"/>
            </w:rPr>
          </w:pPr>
          <w:r w:rsidRPr="00161FCF">
            <w:rPr>
              <w:noProof/>
              <w:sz w:val="20"/>
              <w:szCs w:val="20"/>
            </w:rPr>
            <w:drawing>
              <wp:inline distT="0" distB="0" distL="0" distR="0" wp14:anchorId="418327C3" wp14:editId="5F994578">
                <wp:extent cx="669925" cy="267970"/>
                <wp:effectExtent l="0" t="0" r="0" b="0"/>
                <wp:docPr id="1801335950" name="Picture 2" descr="Open Access - Pluto Journals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086170-BA9A-61A6-4E73-C8F53502D44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Open Access - Pluto Journals">
                          <a:extLst>
                            <a:ext uri="{FF2B5EF4-FFF2-40B4-BE49-F238E27FC236}">
                              <a16:creationId xmlns:a16="http://schemas.microsoft.com/office/drawing/2014/main" id="{91086170-BA9A-61A6-4E73-C8F53502D44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267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161FCF">
            <w:rPr>
              <w:sz w:val="20"/>
              <w:szCs w:val="20"/>
            </w:rPr>
            <w:t xml:space="preserve"> </w:t>
          </w:r>
        </w:p>
      </w:tc>
    </w:tr>
  </w:tbl>
  <w:p w14:paraId="20529114" w14:textId="77777777" w:rsidR="00435582" w:rsidRDefault="00435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049" w:type="dxa"/>
      <w:tblInd w:w="-1701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68"/>
      <w:gridCol w:w="5281"/>
    </w:tblGrid>
    <w:tr w:rsidR="00435582" w:rsidRPr="00E04844" w14:paraId="1F004176" w14:textId="77777777" w:rsidTr="00D3199F">
      <w:tc>
        <w:tcPr>
          <w:tcW w:w="6768" w:type="dxa"/>
          <w:shd w:val="clear" w:color="auto" w:fill="C00000"/>
        </w:tcPr>
        <w:p w14:paraId="660C36FB" w14:textId="77777777" w:rsidR="00435582" w:rsidRPr="00615DEE" w:rsidRDefault="00435582" w:rsidP="00435582">
          <w:pPr>
            <w:pStyle w:val="Header"/>
            <w:rPr>
              <w:sz w:val="10"/>
              <w:szCs w:val="10"/>
            </w:rPr>
          </w:pPr>
        </w:p>
        <w:p w14:paraId="7DA63A2F" w14:textId="77777777" w:rsidR="00435582" w:rsidRDefault="00435582" w:rsidP="00435582">
          <w:pPr>
            <w:pStyle w:val="Header"/>
            <w:ind w:left="1451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F247606" wp14:editId="34D0BE9D">
                <wp:extent cx="3236814" cy="501632"/>
                <wp:effectExtent l="0" t="0" r="1905" b="0"/>
                <wp:docPr id="1597557699" name="Gamba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2682" cy="51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1318B4" w14:textId="77777777" w:rsidR="00435582" w:rsidRPr="00615DEE" w:rsidRDefault="00435582" w:rsidP="00435582">
          <w:pPr>
            <w:pStyle w:val="Header"/>
            <w:rPr>
              <w:sz w:val="10"/>
              <w:szCs w:val="10"/>
            </w:rPr>
          </w:pPr>
        </w:p>
      </w:tc>
      <w:tc>
        <w:tcPr>
          <w:tcW w:w="5281" w:type="dxa"/>
        </w:tcPr>
        <w:p w14:paraId="10A7A682" w14:textId="77777777" w:rsidR="00435582" w:rsidRPr="00E04844" w:rsidRDefault="00435582" w:rsidP="00435582">
          <w:pPr>
            <w:pStyle w:val="Header"/>
            <w:jc w:val="right"/>
            <w:rPr>
              <w:sz w:val="10"/>
              <w:szCs w:val="10"/>
            </w:rPr>
          </w:pPr>
        </w:p>
        <w:p w14:paraId="0AAB791C" w14:textId="6935A944" w:rsidR="00435582" w:rsidRPr="00615DEE" w:rsidRDefault="00435582" w:rsidP="00435582">
          <w:pPr>
            <w:pStyle w:val="Header"/>
            <w:jc w:val="right"/>
            <w:rPr>
              <w:b/>
              <w:bCs/>
            </w:rPr>
          </w:pPr>
          <w:r w:rsidRPr="00615DEE">
            <w:rPr>
              <w:b/>
              <w:bCs/>
            </w:rPr>
            <w:t>Volume 6 No.</w:t>
          </w:r>
          <w:r>
            <w:rPr>
              <w:b/>
              <w:bCs/>
            </w:rPr>
            <w:t>3</w:t>
          </w:r>
          <w:r w:rsidRPr="00615DEE">
            <w:rPr>
              <w:b/>
              <w:bCs/>
            </w:rPr>
            <w:t xml:space="preserve"> (202</w:t>
          </w:r>
          <w:r>
            <w:rPr>
              <w:b/>
              <w:bCs/>
            </w:rPr>
            <w:t>6</w:t>
          </w:r>
          <w:r w:rsidRPr="00615DEE">
            <w:rPr>
              <w:b/>
              <w:bCs/>
            </w:rPr>
            <w:t>)</w:t>
          </w:r>
        </w:p>
        <w:p w14:paraId="6F51DD44" w14:textId="77777777" w:rsidR="00435582" w:rsidRPr="00615DEE" w:rsidRDefault="00435582" w:rsidP="00435582">
          <w:pPr>
            <w:pStyle w:val="Header"/>
            <w:jc w:val="right"/>
          </w:pPr>
          <w:r w:rsidRPr="00615DEE">
            <w:t>Page: 1 – xxx</w:t>
          </w:r>
        </w:p>
        <w:p w14:paraId="32A27F74" w14:textId="77777777" w:rsidR="00435582" w:rsidRPr="00E04844" w:rsidRDefault="00435582" w:rsidP="00435582">
          <w:pPr>
            <w:pStyle w:val="Header"/>
            <w:jc w:val="right"/>
            <w:rPr>
              <w:sz w:val="20"/>
              <w:szCs w:val="20"/>
            </w:rPr>
          </w:pPr>
          <w:hyperlink r:id="rId2" w:history="1">
            <w:r w:rsidRPr="00AD04DC">
              <w:rPr>
                <w:rStyle w:val="Hyperlink"/>
              </w:rPr>
              <w:t>https://ojs.berajah.com/index.php/go</w:t>
            </w:r>
            <w:r w:rsidRPr="00AD04DC">
              <w:rPr>
                <w:rStyle w:val="Hyperlink"/>
                <w:sz w:val="20"/>
                <w:szCs w:val="20"/>
              </w:rPr>
              <w:t>/</w:t>
            </w:r>
          </w:hyperlink>
          <w:r>
            <w:rPr>
              <w:sz w:val="20"/>
              <w:szCs w:val="20"/>
            </w:rPr>
            <w:t xml:space="preserve"> </w:t>
          </w:r>
        </w:p>
      </w:tc>
    </w:tr>
  </w:tbl>
  <w:p w14:paraId="15E66D97" w14:textId="77777777" w:rsidR="00435582" w:rsidRDefault="004355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3118" w14:textId="77777777" w:rsidR="004A654F" w:rsidRDefault="004A654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04A3" w14:textId="77777777" w:rsidR="004A654F" w:rsidRDefault="004A65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44E1A"/>
    <w:multiLevelType w:val="hybridMultilevel"/>
    <w:tmpl w:val="ED4C2F4E"/>
    <w:lvl w:ilvl="0" w:tplc="C74C520C">
      <w:start w:val="1"/>
      <w:numFmt w:val="decimal"/>
      <w:pStyle w:val="Heading2"/>
      <w:lvlText w:val="6.%1"/>
      <w:lvlJc w:val="left"/>
      <w:pPr>
        <w:ind w:left="720" w:hanging="360"/>
      </w:pPr>
      <w:rPr>
        <w:rFonts w:hint="default"/>
        <w:b/>
        <w:bCs/>
        <w:spacing w:val="-1"/>
        <w:w w:val="99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031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B9"/>
    <w:rsid w:val="00002EC5"/>
    <w:rsid w:val="000051EA"/>
    <w:rsid w:val="00011705"/>
    <w:rsid w:val="000166F2"/>
    <w:rsid w:val="00016C88"/>
    <w:rsid w:val="00021D6E"/>
    <w:rsid w:val="00025EE6"/>
    <w:rsid w:val="00041B98"/>
    <w:rsid w:val="00043556"/>
    <w:rsid w:val="000466C7"/>
    <w:rsid w:val="000500FC"/>
    <w:rsid w:val="00050BDD"/>
    <w:rsid w:val="00056A7D"/>
    <w:rsid w:val="00060022"/>
    <w:rsid w:val="0006087F"/>
    <w:rsid w:val="0007124E"/>
    <w:rsid w:val="00082C34"/>
    <w:rsid w:val="00084AD1"/>
    <w:rsid w:val="0008552D"/>
    <w:rsid w:val="00096731"/>
    <w:rsid w:val="000A1415"/>
    <w:rsid w:val="000A2170"/>
    <w:rsid w:val="000A4697"/>
    <w:rsid w:val="000A7B32"/>
    <w:rsid w:val="000B0D03"/>
    <w:rsid w:val="000B3E92"/>
    <w:rsid w:val="000D65A8"/>
    <w:rsid w:val="000E421F"/>
    <w:rsid w:val="000E44EF"/>
    <w:rsid w:val="000E4CB8"/>
    <w:rsid w:val="000F2DA1"/>
    <w:rsid w:val="000F350E"/>
    <w:rsid w:val="000F60E9"/>
    <w:rsid w:val="000F6FD7"/>
    <w:rsid w:val="001102A0"/>
    <w:rsid w:val="001260C2"/>
    <w:rsid w:val="00132372"/>
    <w:rsid w:val="0014056D"/>
    <w:rsid w:val="001414DC"/>
    <w:rsid w:val="00141536"/>
    <w:rsid w:val="0014703F"/>
    <w:rsid w:val="00162C34"/>
    <w:rsid w:val="00167B09"/>
    <w:rsid w:val="001715CD"/>
    <w:rsid w:val="001723C2"/>
    <w:rsid w:val="00174F44"/>
    <w:rsid w:val="00182E86"/>
    <w:rsid w:val="00187B5F"/>
    <w:rsid w:val="001915ED"/>
    <w:rsid w:val="00192DA6"/>
    <w:rsid w:val="00193223"/>
    <w:rsid w:val="00194193"/>
    <w:rsid w:val="001960A9"/>
    <w:rsid w:val="001A6B6F"/>
    <w:rsid w:val="001B4932"/>
    <w:rsid w:val="001B7AB9"/>
    <w:rsid w:val="001C45C5"/>
    <w:rsid w:val="001D14A4"/>
    <w:rsid w:val="001D4C81"/>
    <w:rsid w:val="001D76C9"/>
    <w:rsid w:val="001F4267"/>
    <w:rsid w:val="0020129E"/>
    <w:rsid w:val="002027F6"/>
    <w:rsid w:val="00214129"/>
    <w:rsid w:val="00214622"/>
    <w:rsid w:val="0022032E"/>
    <w:rsid w:val="00224A70"/>
    <w:rsid w:val="0023056A"/>
    <w:rsid w:val="00236F5C"/>
    <w:rsid w:val="00237456"/>
    <w:rsid w:val="00241006"/>
    <w:rsid w:val="002429FE"/>
    <w:rsid w:val="00254D67"/>
    <w:rsid w:val="00267CA1"/>
    <w:rsid w:val="00272B29"/>
    <w:rsid w:val="00273F1B"/>
    <w:rsid w:val="00274F4E"/>
    <w:rsid w:val="002878A7"/>
    <w:rsid w:val="002927A3"/>
    <w:rsid w:val="002940DA"/>
    <w:rsid w:val="002A1ADA"/>
    <w:rsid w:val="002A2DA9"/>
    <w:rsid w:val="002C0C4E"/>
    <w:rsid w:val="002C0D81"/>
    <w:rsid w:val="002C56B4"/>
    <w:rsid w:val="002C7FF1"/>
    <w:rsid w:val="002D2B9C"/>
    <w:rsid w:val="002D2FFB"/>
    <w:rsid w:val="002E0856"/>
    <w:rsid w:val="002F0F12"/>
    <w:rsid w:val="00300703"/>
    <w:rsid w:val="00301953"/>
    <w:rsid w:val="00305B90"/>
    <w:rsid w:val="0030697E"/>
    <w:rsid w:val="00307676"/>
    <w:rsid w:val="00311035"/>
    <w:rsid w:val="00313E5C"/>
    <w:rsid w:val="00315172"/>
    <w:rsid w:val="00315721"/>
    <w:rsid w:val="003326E0"/>
    <w:rsid w:val="00335913"/>
    <w:rsid w:val="00344B56"/>
    <w:rsid w:val="00350904"/>
    <w:rsid w:val="00350CC7"/>
    <w:rsid w:val="0035454A"/>
    <w:rsid w:val="0035489F"/>
    <w:rsid w:val="0036084A"/>
    <w:rsid w:val="0037116D"/>
    <w:rsid w:val="00376C9B"/>
    <w:rsid w:val="00392B10"/>
    <w:rsid w:val="00396C1F"/>
    <w:rsid w:val="003A2244"/>
    <w:rsid w:val="003A3EBE"/>
    <w:rsid w:val="003A574F"/>
    <w:rsid w:val="003C123F"/>
    <w:rsid w:val="003C245E"/>
    <w:rsid w:val="003D7F4C"/>
    <w:rsid w:val="003F1543"/>
    <w:rsid w:val="003F32C3"/>
    <w:rsid w:val="003F34F0"/>
    <w:rsid w:val="003F74CB"/>
    <w:rsid w:val="003F7E78"/>
    <w:rsid w:val="00406327"/>
    <w:rsid w:val="004066E2"/>
    <w:rsid w:val="00412855"/>
    <w:rsid w:val="0041317F"/>
    <w:rsid w:val="00416502"/>
    <w:rsid w:val="00416A92"/>
    <w:rsid w:val="0042044F"/>
    <w:rsid w:val="00424C18"/>
    <w:rsid w:val="00430753"/>
    <w:rsid w:val="00430DBD"/>
    <w:rsid w:val="00432BD7"/>
    <w:rsid w:val="004339D0"/>
    <w:rsid w:val="00435582"/>
    <w:rsid w:val="004367DC"/>
    <w:rsid w:val="00441F4D"/>
    <w:rsid w:val="0044202A"/>
    <w:rsid w:val="004420AC"/>
    <w:rsid w:val="00456009"/>
    <w:rsid w:val="00457980"/>
    <w:rsid w:val="00460007"/>
    <w:rsid w:val="0046652B"/>
    <w:rsid w:val="00475E88"/>
    <w:rsid w:val="00483B54"/>
    <w:rsid w:val="00484816"/>
    <w:rsid w:val="004860C5"/>
    <w:rsid w:val="00492278"/>
    <w:rsid w:val="00493C6A"/>
    <w:rsid w:val="004A226B"/>
    <w:rsid w:val="004A654F"/>
    <w:rsid w:val="004B1EE7"/>
    <w:rsid w:val="004B29D1"/>
    <w:rsid w:val="004C3748"/>
    <w:rsid w:val="004C4AE4"/>
    <w:rsid w:val="004C77F1"/>
    <w:rsid w:val="004D6CCE"/>
    <w:rsid w:val="004E205D"/>
    <w:rsid w:val="004E2C6E"/>
    <w:rsid w:val="004F3EC9"/>
    <w:rsid w:val="00503112"/>
    <w:rsid w:val="00506A55"/>
    <w:rsid w:val="005160D3"/>
    <w:rsid w:val="005200B4"/>
    <w:rsid w:val="00533060"/>
    <w:rsid w:val="005371D6"/>
    <w:rsid w:val="0054174A"/>
    <w:rsid w:val="00543970"/>
    <w:rsid w:val="00543C79"/>
    <w:rsid w:val="00544C97"/>
    <w:rsid w:val="00555281"/>
    <w:rsid w:val="005629B8"/>
    <w:rsid w:val="00563528"/>
    <w:rsid w:val="00572CBC"/>
    <w:rsid w:val="00574CA8"/>
    <w:rsid w:val="005808E7"/>
    <w:rsid w:val="00581264"/>
    <w:rsid w:val="005852CB"/>
    <w:rsid w:val="0058777F"/>
    <w:rsid w:val="00593B69"/>
    <w:rsid w:val="00593FDB"/>
    <w:rsid w:val="0059493D"/>
    <w:rsid w:val="005A37B8"/>
    <w:rsid w:val="005A432E"/>
    <w:rsid w:val="005A6DE8"/>
    <w:rsid w:val="005B1514"/>
    <w:rsid w:val="005B4677"/>
    <w:rsid w:val="005B4AEE"/>
    <w:rsid w:val="005B6041"/>
    <w:rsid w:val="005C41CD"/>
    <w:rsid w:val="005C7D45"/>
    <w:rsid w:val="005D101F"/>
    <w:rsid w:val="005D2A2D"/>
    <w:rsid w:val="005D2E4A"/>
    <w:rsid w:val="005D76C6"/>
    <w:rsid w:val="005E2010"/>
    <w:rsid w:val="005E2E5A"/>
    <w:rsid w:val="005E3562"/>
    <w:rsid w:val="005E43BA"/>
    <w:rsid w:val="005F0A07"/>
    <w:rsid w:val="005F75B0"/>
    <w:rsid w:val="00604748"/>
    <w:rsid w:val="006071C3"/>
    <w:rsid w:val="006075EC"/>
    <w:rsid w:val="00610E1C"/>
    <w:rsid w:val="00612957"/>
    <w:rsid w:val="0061709F"/>
    <w:rsid w:val="00623EC5"/>
    <w:rsid w:val="00626468"/>
    <w:rsid w:val="0063448A"/>
    <w:rsid w:val="00636909"/>
    <w:rsid w:val="00655129"/>
    <w:rsid w:val="00656006"/>
    <w:rsid w:val="00664C96"/>
    <w:rsid w:val="0066641E"/>
    <w:rsid w:val="00672BC5"/>
    <w:rsid w:val="0068084B"/>
    <w:rsid w:val="006853F6"/>
    <w:rsid w:val="00686FD8"/>
    <w:rsid w:val="00693E18"/>
    <w:rsid w:val="00696158"/>
    <w:rsid w:val="006A0B5D"/>
    <w:rsid w:val="006A141E"/>
    <w:rsid w:val="006A2E50"/>
    <w:rsid w:val="006A4598"/>
    <w:rsid w:val="006A5F6F"/>
    <w:rsid w:val="006A7F2B"/>
    <w:rsid w:val="006B5C63"/>
    <w:rsid w:val="006C540F"/>
    <w:rsid w:val="006C582D"/>
    <w:rsid w:val="006C60E3"/>
    <w:rsid w:val="006F2120"/>
    <w:rsid w:val="006F7791"/>
    <w:rsid w:val="00707F41"/>
    <w:rsid w:val="00711D60"/>
    <w:rsid w:val="00712A69"/>
    <w:rsid w:val="00712C72"/>
    <w:rsid w:val="007142A6"/>
    <w:rsid w:val="00721E6E"/>
    <w:rsid w:val="00722A1A"/>
    <w:rsid w:val="00731995"/>
    <w:rsid w:val="007366BE"/>
    <w:rsid w:val="00740D9B"/>
    <w:rsid w:val="00743194"/>
    <w:rsid w:val="00743723"/>
    <w:rsid w:val="0074562D"/>
    <w:rsid w:val="00745FF9"/>
    <w:rsid w:val="0075589A"/>
    <w:rsid w:val="0075617A"/>
    <w:rsid w:val="007709FD"/>
    <w:rsid w:val="00772335"/>
    <w:rsid w:val="00773181"/>
    <w:rsid w:val="00773F25"/>
    <w:rsid w:val="007847EA"/>
    <w:rsid w:val="00787117"/>
    <w:rsid w:val="007931D9"/>
    <w:rsid w:val="007D0051"/>
    <w:rsid w:val="007D5BC0"/>
    <w:rsid w:val="007D7C74"/>
    <w:rsid w:val="007E0D09"/>
    <w:rsid w:val="007E470B"/>
    <w:rsid w:val="007F07DE"/>
    <w:rsid w:val="007F22A9"/>
    <w:rsid w:val="00800C42"/>
    <w:rsid w:val="008056D7"/>
    <w:rsid w:val="00811D1D"/>
    <w:rsid w:val="00823594"/>
    <w:rsid w:val="008317CB"/>
    <w:rsid w:val="008373A6"/>
    <w:rsid w:val="00840395"/>
    <w:rsid w:val="008527BA"/>
    <w:rsid w:val="00857BB2"/>
    <w:rsid w:val="00861FAA"/>
    <w:rsid w:val="00872E43"/>
    <w:rsid w:val="00873F8F"/>
    <w:rsid w:val="00874106"/>
    <w:rsid w:val="008806FA"/>
    <w:rsid w:val="00882292"/>
    <w:rsid w:val="0088313E"/>
    <w:rsid w:val="008961C4"/>
    <w:rsid w:val="008A2CEE"/>
    <w:rsid w:val="008B4DEF"/>
    <w:rsid w:val="008C20B0"/>
    <w:rsid w:val="008D3CAD"/>
    <w:rsid w:val="008D4575"/>
    <w:rsid w:val="008D5421"/>
    <w:rsid w:val="008E62B0"/>
    <w:rsid w:val="008F2097"/>
    <w:rsid w:val="009028A1"/>
    <w:rsid w:val="00904FFA"/>
    <w:rsid w:val="009115B4"/>
    <w:rsid w:val="009155D0"/>
    <w:rsid w:val="009168B7"/>
    <w:rsid w:val="00926184"/>
    <w:rsid w:val="009267C2"/>
    <w:rsid w:val="00930AAD"/>
    <w:rsid w:val="00932F91"/>
    <w:rsid w:val="00933306"/>
    <w:rsid w:val="00941421"/>
    <w:rsid w:val="00947B32"/>
    <w:rsid w:val="00951531"/>
    <w:rsid w:val="00953668"/>
    <w:rsid w:val="009633FA"/>
    <w:rsid w:val="00965167"/>
    <w:rsid w:val="00980639"/>
    <w:rsid w:val="0098453C"/>
    <w:rsid w:val="00991F5B"/>
    <w:rsid w:val="009A4C66"/>
    <w:rsid w:val="009B7001"/>
    <w:rsid w:val="009C1094"/>
    <w:rsid w:val="009E00C7"/>
    <w:rsid w:val="009E2744"/>
    <w:rsid w:val="009F0EC0"/>
    <w:rsid w:val="009F1E1B"/>
    <w:rsid w:val="009F7585"/>
    <w:rsid w:val="00A006BD"/>
    <w:rsid w:val="00A0564E"/>
    <w:rsid w:val="00A07351"/>
    <w:rsid w:val="00A07889"/>
    <w:rsid w:val="00A116D9"/>
    <w:rsid w:val="00A21786"/>
    <w:rsid w:val="00A21B3E"/>
    <w:rsid w:val="00A23521"/>
    <w:rsid w:val="00A23538"/>
    <w:rsid w:val="00A47741"/>
    <w:rsid w:val="00A47EFE"/>
    <w:rsid w:val="00A57306"/>
    <w:rsid w:val="00A732EE"/>
    <w:rsid w:val="00A74CB1"/>
    <w:rsid w:val="00A95EA6"/>
    <w:rsid w:val="00AA40F0"/>
    <w:rsid w:val="00AA4DA3"/>
    <w:rsid w:val="00AB2B1C"/>
    <w:rsid w:val="00AB6047"/>
    <w:rsid w:val="00AB63D1"/>
    <w:rsid w:val="00AB6706"/>
    <w:rsid w:val="00AB7DB0"/>
    <w:rsid w:val="00AC1736"/>
    <w:rsid w:val="00AC7812"/>
    <w:rsid w:val="00AD226F"/>
    <w:rsid w:val="00AD55C6"/>
    <w:rsid w:val="00AD78FD"/>
    <w:rsid w:val="00AE5CBF"/>
    <w:rsid w:val="00AF24D6"/>
    <w:rsid w:val="00AF3683"/>
    <w:rsid w:val="00B00AE2"/>
    <w:rsid w:val="00B0190E"/>
    <w:rsid w:val="00B13911"/>
    <w:rsid w:val="00B14819"/>
    <w:rsid w:val="00B22245"/>
    <w:rsid w:val="00B352F0"/>
    <w:rsid w:val="00B35AAE"/>
    <w:rsid w:val="00B41E22"/>
    <w:rsid w:val="00B4285D"/>
    <w:rsid w:val="00B45785"/>
    <w:rsid w:val="00B47F77"/>
    <w:rsid w:val="00B55346"/>
    <w:rsid w:val="00B60217"/>
    <w:rsid w:val="00B62342"/>
    <w:rsid w:val="00B76413"/>
    <w:rsid w:val="00B77D9A"/>
    <w:rsid w:val="00B824D3"/>
    <w:rsid w:val="00B871EC"/>
    <w:rsid w:val="00BC16C3"/>
    <w:rsid w:val="00BC1FE4"/>
    <w:rsid w:val="00BC285A"/>
    <w:rsid w:val="00BD12E9"/>
    <w:rsid w:val="00BD305F"/>
    <w:rsid w:val="00BD45BD"/>
    <w:rsid w:val="00BE0FA4"/>
    <w:rsid w:val="00BE44CC"/>
    <w:rsid w:val="00BF139A"/>
    <w:rsid w:val="00BF22E9"/>
    <w:rsid w:val="00BF4E1D"/>
    <w:rsid w:val="00C17CE7"/>
    <w:rsid w:val="00C243DC"/>
    <w:rsid w:val="00C26D44"/>
    <w:rsid w:val="00C310A9"/>
    <w:rsid w:val="00C35852"/>
    <w:rsid w:val="00C37649"/>
    <w:rsid w:val="00C50EF5"/>
    <w:rsid w:val="00C62BDB"/>
    <w:rsid w:val="00C638B9"/>
    <w:rsid w:val="00C70426"/>
    <w:rsid w:val="00C73F9D"/>
    <w:rsid w:val="00C85916"/>
    <w:rsid w:val="00C8731F"/>
    <w:rsid w:val="00C8772E"/>
    <w:rsid w:val="00CA2B46"/>
    <w:rsid w:val="00CA37E1"/>
    <w:rsid w:val="00CA676E"/>
    <w:rsid w:val="00CB0DDE"/>
    <w:rsid w:val="00CB1DB8"/>
    <w:rsid w:val="00CB6056"/>
    <w:rsid w:val="00CC2FCE"/>
    <w:rsid w:val="00CC5473"/>
    <w:rsid w:val="00CD6195"/>
    <w:rsid w:val="00CD7382"/>
    <w:rsid w:val="00CE31E6"/>
    <w:rsid w:val="00CE7939"/>
    <w:rsid w:val="00D00925"/>
    <w:rsid w:val="00D03641"/>
    <w:rsid w:val="00D071F1"/>
    <w:rsid w:val="00D07F78"/>
    <w:rsid w:val="00D15BDF"/>
    <w:rsid w:val="00D20BC1"/>
    <w:rsid w:val="00D32A65"/>
    <w:rsid w:val="00D37B72"/>
    <w:rsid w:val="00D456E2"/>
    <w:rsid w:val="00D57BB3"/>
    <w:rsid w:val="00D61B8F"/>
    <w:rsid w:val="00D70FD8"/>
    <w:rsid w:val="00D744BF"/>
    <w:rsid w:val="00D837BD"/>
    <w:rsid w:val="00D940A9"/>
    <w:rsid w:val="00D94D44"/>
    <w:rsid w:val="00D95372"/>
    <w:rsid w:val="00DA45BD"/>
    <w:rsid w:val="00DA6FC1"/>
    <w:rsid w:val="00DB48A9"/>
    <w:rsid w:val="00DB716D"/>
    <w:rsid w:val="00DC0D3C"/>
    <w:rsid w:val="00DC23BE"/>
    <w:rsid w:val="00DE0C63"/>
    <w:rsid w:val="00DE2260"/>
    <w:rsid w:val="00DF1DB5"/>
    <w:rsid w:val="00DF2EBA"/>
    <w:rsid w:val="00DF6930"/>
    <w:rsid w:val="00E04C48"/>
    <w:rsid w:val="00E11E65"/>
    <w:rsid w:val="00E13B02"/>
    <w:rsid w:val="00E23298"/>
    <w:rsid w:val="00E25394"/>
    <w:rsid w:val="00E345C7"/>
    <w:rsid w:val="00E377F9"/>
    <w:rsid w:val="00E47AC8"/>
    <w:rsid w:val="00E549DB"/>
    <w:rsid w:val="00E558B9"/>
    <w:rsid w:val="00E5684E"/>
    <w:rsid w:val="00E57FCC"/>
    <w:rsid w:val="00E60882"/>
    <w:rsid w:val="00E62636"/>
    <w:rsid w:val="00E6423B"/>
    <w:rsid w:val="00E6682A"/>
    <w:rsid w:val="00E66FB4"/>
    <w:rsid w:val="00E74CBB"/>
    <w:rsid w:val="00E8252D"/>
    <w:rsid w:val="00E92F67"/>
    <w:rsid w:val="00EA03C4"/>
    <w:rsid w:val="00EA4CD4"/>
    <w:rsid w:val="00EA4D85"/>
    <w:rsid w:val="00EA5560"/>
    <w:rsid w:val="00EA5E67"/>
    <w:rsid w:val="00EB2B16"/>
    <w:rsid w:val="00EB6238"/>
    <w:rsid w:val="00EC3A08"/>
    <w:rsid w:val="00ED3579"/>
    <w:rsid w:val="00ED3F26"/>
    <w:rsid w:val="00EF1C24"/>
    <w:rsid w:val="00EF7673"/>
    <w:rsid w:val="00F05559"/>
    <w:rsid w:val="00F06DC7"/>
    <w:rsid w:val="00F21A68"/>
    <w:rsid w:val="00F22363"/>
    <w:rsid w:val="00F2694D"/>
    <w:rsid w:val="00F40DDA"/>
    <w:rsid w:val="00F43F2F"/>
    <w:rsid w:val="00F465DE"/>
    <w:rsid w:val="00F46C70"/>
    <w:rsid w:val="00F509A5"/>
    <w:rsid w:val="00F52620"/>
    <w:rsid w:val="00F570BD"/>
    <w:rsid w:val="00F63BF4"/>
    <w:rsid w:val="00F738DB"/>
    <w:rsid w:val="00F8368D"/>
    <w:rsid w:val="00F845FC"/>
    <w:rsid w:val="00F853B4"/>
    <w:rsid w:val="00F87789"/>
    <w:rsid w:val="00F90152"/>
    <w:rsid w:val="00F90CE1"/>
    <w:rsid w:val="00F93250"/>
    <w:rsid w:val="00FA2554"/>
    <w:rsid w:val="00FB2575"/>
    <w:rsid w:val="00FB4696"/>
    <w:rsid w:val="00FC1999"/>
    <w:rsid w:val="00FC7F3E"/>
    <w:rsid w:val="00FD71CE"/>
    <w:rsid w:val="00FE31EE"/>
    <w:rsid w:val="00FE6ACB"/>
    <w:rsid w:val="00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09D7"/>
  <w15:docId w15:val="{93AA6DF9-3185-4CFA-8BA8-FB7A6462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6E2"/>
  </w:style>
  <w:style w:type="paragraph" w:styleId="Heading1">
    <w:name w:val="heading 1"/>
    <w:basedOn w:val="Normal"/>
    <w:next w:val="Normal"/>
    <w:link w:val="Heading1Char"/>
    <w:uiPriority w:val="9"/>
    <w:qFormat/>
    <w:rsid w:val="00787117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17"/>
    <w:pPr>
      <w:keepNext/>
      <w:keepLines/>
      <w:numPr>
        <w:numId w:val="1"/>
      </w:numPr>
      <w:spacing w:before="160" w:after="120"/>
      <w:outlineLvl w:val="1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5C7"/>
    <w:pPr>
      <w:keepNext/>
      <w:keepLines/>
      <w:spacing w:before="12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A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17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711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45C7"/>
    <w:rPr>
      <w:rFonts w:ascii="Times New Roman" w:eastAsiaTheme="majorEastAsia" w:hAnsi="Times New Roman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7A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A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AB9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el"/>
    <w:basedOn w:val="Normal"/>
    <w:next w:val="Normal"/>
    <w:link w:val="TitleChar"/>
    <w:uiPriority w:val="10"/>
    <w:qFormat/>
    <w:rsid w:val="00B55346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aliases w:val="Tabel Char"/>
    <w:basedOn w:val="DefaultParagraphFont"/>
    <w:link w:val="Title"/>
    <w:uiPriority w:val="10"/>
    <w:rsid w:val="00B55346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Subtitle">
    <w:name w:val="Subtitle"/>
    <w:aliases w:val="Gambar"/>
    <w:basedOn w:val="Normal"/>
    <w:next w:val="Normal"/>
    <w:link w:val="SubtitleChar"/>
    <w:uiPriority w:val="11"/>
    <w:qFormat/>
    <w:rsid w:val="00025EE6"/>
    <w:pPr>
      <w:numPr>
        <w:ilvl w:val="1"/>
      </w:numPr>
      <w:spacing w:after="0" w:line="240" w:lineRule="auto"/>
      <w:jc w:val="center"/>
    </w:pPr>
    <w:rPr>
      <w:rFonts w:ascii="Times New Roman" w:eastAsiaTheme="majorEastAsia" w:hAnsi="Times New Roman" w:cstheme="majorBidi"/>
      <w:b/>
      <w:spacing w:val="15"/>
      <w:sz w:val="24"/>
      <w:szCs w:val="28"/>
    </w:rPr>
  </w:style>
  <w:style w:type="character" w:customStyle="1" w:styleId="SubtitleChar">
    <w:name w:val="Subtitle Char"/>
    <w:aliases w:val="Gambar Char"/>
    <w:basedOn w:val="DefaultParagraphFont"/>
    <w:link w:val="Subtitle"/>
    <w:uiPriority w:val="11"/>
    <w:rsid w:val="00025EE6"/>
    <w:rPr>
      <w:rFonts w:ascii="Times New Roman" w:eastAsiaTheme="majorEastAsia" w:hAnsi="Times New Roman" w:cstheme="majorBidi"/>
      <w:b/>
      <w:spacing w:val="15"/>
      <w:sz w:val="24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A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A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AB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4100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1006"/>
    <w:pPr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41006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1006"/>
    <w:pPr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41006"/>
    <w:rPr>
      <w:rFonts w:ascii="Times New Roman" w:hAnsi="Times New Roman"/>
      <w:sz w:val="24"/>
      <w:lang w:val="en-GB"/>
    </w:rPr>
  </w:style>
  <w:style w:type="table" w:customStyle="1" w:styleId="TableGrid0">
    <w:name w:val="TableGrid"/>
    <w:rsid w:val="00192DA6"/>
    <w:pPr>
      <w:spacing w:after="0" w:line="240" w:lineRule="auto"/>
    </w:pPr>
    <w:rPr>
      <w:rFonts w:eastAsiaTheme="minorEastAsia"/>
      <w:sz w:val="24"/>
      <w:szCs w:val="24"/>
      <w:lang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1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C24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025EE6"/>
    <w:rPr>
      <w:i/>
      <w:iCs/>
      <w:color w:val="808080" w:themeColor="text1" w:themeTint="7F"/>
    </w:rPr>
  </w:style>
  <w:style w:type="paragraph" w:styleId="TOC1">
    <w:name w:val="toc 1"/>
    <w:basedOn w:val="Normal"/>
    <w:next w:val="Normal"/>
    <w:autoRedefine/>
    <w:uiPriority w:val="39"/>
    <w:unhideWhenUsed/>
    <w:rsid w:val="00344B56"/>
    <w:pPr>
      <w:tabs>
        <w:tab w:val="right" w:leader="dot" w:pos="7927"/>
      </w:tabs>
      <w:spacing w:after="0" w:line="360" w:lineRule="auto"/>
    </w:pPr>
    <w:rPr>
      <w:rFonts w:ascii="Times New Roman" w:hAnsi="Times New Roman" w:cs="Times New Roman"/>
      <w:b/>
      <w:bCs/>
      <w:noProof/>
      <w:sz w:val="24"/>
      <w:szCs w:val="24"/>
      <w:lang w:val="sv-SE"/>
    </w:rPr>
  </w:style>
  <w:style w:type="paragraph" w:styleId="TOC2">
    <w:name w:val="toc 2"/>
    <w:basedOn w:val="Normal"/>
    <w:next w:val="Normal"/>
    <w:autoRedefine/>
    <w:uiPriority w:val="39"/>
    <w:unhideWhenUsed/>
    <w:rsid w:val="00544C97"/>
    <w:pPr>
      <w:tabs>
        <w:tab w:val="left" w:pos="709"/>
        <w:tab w:val="right" w:leader="dot" w:pos="7927"/>
      </w:tabs>
      <w:spacing w:after="0" w:line="360" w:lineRule="auto"/>
      <w:ind w:left="284"/>
    </w:pPr>
  </w:style>
  <w:style w:type="paragraph" w:styleId="TOC3">
    <w:name w:val="toc 3"/>
    <w:basedOn w:val="Normal"/>
    <w:next w:val="Normal"/>
    <w:autoRedefine/>
    <w:uiPriority w:val="39"/>
    <w:unhideWhenUsed/>
    <w:rsid w:val="004A654F"/>
    <w:pPr>
      <w:tabs>
        <w:tab w:val="right" w:leader="dot" w:pos="7927"/>
      </w:tabs>
      <w:spacing w:after="100"/>
      <w:ind w:left="1134"/>
    </w:pPr>
  </w:style>
  <w:style w:type="character" w:styleId="Hyperlink">
    <w:name w:val="Hyperlink"/>
    <w:basedOn w:val="DefaultParagraphFont"/>
    <w:uiPriority w:val="99"/>
    <w:unhideWhenUsed/>
    <w:rsid w:val="00C859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5E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1915ED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21786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E201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344B56"/>
    <w:pPr>
      <w:spacing w:after="0"/>
    </w:pPr>
  </w:style>
  <w:style w:type="character" w:styleId="Strong">
    <w:name w:val="Strong"/>
    <w:basedOn w:val="DefaultParagraphFont"/>
    <w:uiPriority w:val="22"/>
    <w:qFormat/>
    <w:rsid w:val="00BC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muliaputra989@gmail.com" TargetMode="External"/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js.berajah.com/index.php/g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ojs.berajah.com/index.php/go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9D3471C-682E-4D69-B93D-10594975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roy koin</cp:lastModifiedBy>
  <cp:revision>3</cp:revision>
  <cp:lastPrinted>2025-12-27T13:41:00Z</cp:lastPrinted>
  <dcterms:created xsi:type="dcterms:W3CDTF">2026-06-10T00:22:00Z</dcterms:created>
  <dcterms:modified xsi:type="dcterms:W3CDTF">2026-06-10T09:00:00Z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83fc6eee-38bf-44b3-a041-7d93d2ce79c7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https://csl.mendeley.com/styles/475823531/apa</vt:lpwstr>
  </property>
  <property fmtid="{D5CDD505-2E9C-101B-9397-08002B2CF9AE}" pid="6" name="Mendeley Recent Style Name 1_1">
    <vt:lpwstr>American Psychological Association 6th edition - Mincho Slavov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6th/7th edition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18th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12th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9th edition (in-text citations)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91b261fd-78c9-3ede-9d45-bf8bceaa3222</vt:lpwstr>
  </property>
  <property fmtid="{D5CDD505-2E9C-101B-9397-08002B2CF9AE}" pid="25" name="Mendeley Citation Style_1">
    <vt:lpwstr>http://www.zotero.org/styles/apa</vt:lpwstr>
  </property>
</Properties>
</file>